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CF83" w14:textId="07193443" w:rsidR="00477EB0" w:rsidRPr="004378CA" w:rsidRDefault="00D11EF5" w:rsidP="00120B55">
      <w:pPr>
        <w:spacing w:after="240"/>
        <w:rPr>
          <w:rFonts w:ascii="Verdana" w:eastAsia="Arial" w:hAnsi="Verdana" w:cs="Arial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Template: </w:t>
      </w:r>
      <w:r w:rsidR="00AA12A0">
        <w:rPr>
          <w:rFonts w:ascii="Verdana" w:hAnsi="Verdana"/>
          <w:b/>
          <w:bCs/>
          <w:sz w:val="28"/>
          <w:szCs w:val="28"/>
        </w:rPr>
        <w:t xml:space="preserve">Summary </w:t>
      </w:r>
      <w:r w:rsidR="00B250A0">
        <w:rPr>
          <w:rFonts w:ascii="Verdana" w:hAnsi="Verdana"/>
          <w:b/>
          <w:bCs/>
          <w:sz w:val="28"/>
          <w:szCs w:val="28"/>
        </w:rPr>
        <w:t>o</w:t>
      </w:r>
      <w:r w:rsidR="00AA12A0">
        <w:rPr>
          <w:rFonts w:ascii="Verdana" w:hAnsi="Verdana"/>
          <w:b/>
          <w:bCs/>
          <w:sz w:val="28"/>
          <w:szCs w:val="28"/>
        </w:rPr>
        <w:t>f Products Characteristics</w:t>
      </w:r>
      <w:r w:rsidR="004378CA" w:rsidRPr="004378CA">
        <w:rPr>
          <w:rFonts w:ascii="Verdana" w:hAnsi="Verdana"/>
          <w:b/>
          <w:bCs/>
          <w:spacing w:val="-8"/>
          <w:sz w:val="28"/>
          <w:szCs w:val="28"/>
        </w:rPr>
        <w:t xml:space="preserve"> </w:t>
      </w:r>
      <w:r w:rsidR="004378CA" w:rsidRPr="004378CA">
        <w:rPr>
          <w:rFonts w:ascii="Verdana" w:hAnsi="Verdana"/>
          <w:b/>
          <w:bCs/>
          <w:spacing w:val="-1"/>
          <w:sz w:val="28"/>
          <w:szCs w:val="28"/>
        </w:rPr>
        <w:t>(</w:t>
      </w:r>
      <w:r w:rsidR="00B173BB">
        <w:rPr>
          <w:rFonts w:ascii="Verdana" w:hAnsi="Verdana"/>
          <w:b/>
          <w:bCs/>
          <w:spacing w:val="-1"/>
          <w:sz w:val="28"/>
          <w:szCs w:val="28"/>
        </w:rPr>
        <w:t>SmPC</w:t>
      </w:r>
      <w:r w:rsidR="004378CA" w:rsidRPr="004378CA">
        <w:rPr>
          <w:rFonts w:ascii="Verdana" w:hAnsi="Verdana"/>
          <w:b/>
          <w:bCs/>
          <w:spacing w:val="-1"/>
          <w:sz w:val="28"/>
          <w:szCs w:val="28"/>
        </w:rPr>
        <w:t>)</w:t>
      </w:r>
    </w:p>
    <w:p w14:paraId="70256363" w14:textId="52A1D074" w:rsidR="00477EB0" w:rsidRDefault="00451729" w:rsidP="00324EB8">
      <w:pPr>
        <w:rPr>
          <w:rFonts w:ascii="Verdana" w:hAnsi="Verdana"/>
          <w:i/>
          <w:spacing w:val="-1"/>
        </w:rPr>
      </w:pPr>
      <w:r w:rsidRPr="004378CA">
        <w:rPr>
          <w:rFonts w:ascii="Verdana" w:hAnsi="Verdana"/>
          <w:i/>
        </w:rPr>
        <w:t>&lt;text&gt;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  <w:spacing w:val="-1"/>
        </w:rPr>
        <w:t>signifies text to</w:t>
      </w:r>
      <w:r w:rsidRPr="004378CA">
        <w:rPr>
          <w:rFonts w:ascii="Verdana" w:hAnsi="Verdana"/>
          <w:i/>
          <w:spacing w:val="-4"/>
        </w:rPr>
        <w:t xml:space="preserve"> </w:t>
      </w:r>
      <w:r w:rsidRPr="004378CA">
        <w:rPr>
          <w:rFonts w:ascii="Verdana" w:hAnsi="Verdana"/>
          <w:i/>
        </w:rPr>
        <w:t>be</w:t>
      </w:r>
      <w:r w:rsidRPr="004378CA">
        <w:rPr>
          <w:rFonts w:ascii="Verdana" w:hAnsi="Verdana"/>
          <w:i/>
          <w:spacing w:val="-1"/>
        </w:rPr>
        <w:t xml:space="preserve"> selected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</w:rPr>
        <w:t>or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  <w:spacing w:val="-1"/>
        </w:rPr>
        <w:t>deleted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</w:rPr>
        <w:t>as</w:t>
      </w:r>
      <w:r w:rsidRPr="004378CA">
        <w:rPr>
          <w:rFonts w:ascii="Verdana" w:hAnsi="Verdana"/>
          <w:i/>
          <w:spacing w:val="-2"/>
        </w:rPr>
        <w:t xml:space="preserve"> </w:t>
      </w:r>
      <w:r w:rsidRPr="004378CA">
        <w:rPr>
          <w:rFonts w:ascii="Verdana" w:hAnsi="Verdana"/>
          <w:i/>
          <w:spacing w:val="-1"/>
        </w:rPr>
        <w:t>appropriate while</w:t>
      </w:r>
      <w:r w:rsidRPr="004378CA">
        <w:rPr>
          <w:rFonts w:ascii="Verdana" w:hAnsi="Verdana"/>
          <w:i/>
          <w:spacing w:val="-2"/>
        </w:rPr>
        <w:t xml:space="preserve"> </w:t>
      </w:r>
      <w:r w:rsidRPr="004378CA">
        <w:rPr>
          <w:rFonts w:ascii="Verdana" w:hAnsi="Verdana"/>
          <w:i/>
          <w:spacing w:val="-1"/>
        </w:rPr>
        <w:t>{text}</w:t>
      </w:r>
      <w:r w:rsidRPr="004378CA">
        <w:rPr>
          <w:rFonts w:ascii="Verdana" w:hAnsi="Verdana"/>
          <w:i/>
          <w:spacing w:val="-2"/>
        </w:rPr>
        <w:t xml:space="preserve"> </w:t>
      </w:r>
      <w:r w:rsidRPr="004378CA">
        <w:rPr>
          <w:rFonts w:ascii="Verdana" w:hAnsi="Verdana"/>
          <w:i/>
        </w:rPr>
        <w:t>refers</w:t>
      </w:r>
      <w:r w:rsidRPr="004378CA">
        <w:rPr>
          <w:rFonts w:ascii="Verdana" w:hAnsi="Verdana"/>
          <w:i/>
          <w:spacing w:val="-2"/>
        </w:rPr>
        <w:t xml:space="preserve"> to</w:t>
      </w:r>
      <w:r w:rsidRPr="004378CA">
        <w:rPr>
          <w:rFonts w:ascii="Verdana" w:hAnsi="Verdana"/>
          <w:i/>
          <w:spacing w:val="59"/>
        </w:rPr>
        <w:t xml:space="preserve"> </w:t>
      </w:r>
      <w:r w:rsidRPr="004378CA">
        <w:rPr>
          <w:rFonts w:ascii="Verdana" w:hAnsi="Verdana"/>
          <w:i/>
          <w:spacing w:val="-1"/>
        </w:rPr>
        <w:t>information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</w:rPr>
        <w:t>to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</w:rPr>
        <w:t>be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  <w:spacing w:val="-1"/>
        </w:rPr>
        <w:t>added.</w:t>
      </w:r>
    </w:p>
    <w:p w14:paraId="3B67FFCA" w14:textId="1FCCBCAE" w:rsidR="009F54A7" w:rsidRPr="009F54A7" w:rsidRDefault="009F54A7" w:rsidP="00324EB8">
      <w:pPr>
        <w:rPr>
          <w:rFonts w:ascii="Verdana" w:eastAsia="Arial" w:hAnsi="Verdana" w:cs="Arial"/>
        </w:rPr>
      </w:pPr>
    </w:p>
    <w:p w14:paraId="39D55FB6" w14:textId="4D182DB2" w:rsidR="009F54A7" w:rsidRPr="009F54A7" w:rsidRDefault="009F54A7" w:rsidP="00E16BC7">
      <w:pPr>
        <w:ind w:left="720" w:hanging="72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1.</w:t>
      </w:r>
      <w:r w:rsidRPr="009F54A7">
        <w:rPr>
          <w:rFonts w:ascii="Verdana" w:hAnsi="Verdana"/>
          <w:b/>
          <w:noProof/>
        </w:rPr>
        <w:tab/>
        <w:t>NAME OF THE MEDICIN</w:t>
      </w:r>
      <w:r>
        <w:rPr>
          <w:rFonts w:ascii="Verdana" w:hAnsi="Verdana"/>
          <w:b/>
          <w:noProof/>
        </w:rPr>
        <w:t>E</w:t>
      </w:r>
    </w:p>
    <w:p w14:paraId="49C58CED" w14:textId="77777777" w:rsidR="009F54A7" w:rsidRPr="009F54A7" w:rsidRDefault="009F54A7" w:rsidP="009F54A7">
      <w:pPr>
        <w:rPr>
          <w:rFonts w:ascii="Verdana" w:hAnsi="Verdana"/>
          <w:iCs/>
          <w:noProof/>
        </w:rPr>
      </w:pPr>
    </w:p>
    <w:p w14:paraId="3ABC48B3" w14:textId="339DF562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{(Invented) name strength pharmaceutical form}</w:t>
      </w:r>
    </w:p>
    <w:p w14:paraId="30A3B6C6" w14:textId="3D0FF89F" w:rsidR="009F54A7" w:rsidRDefault="009F54A7" w:rsidP="009F54A7">
      <w:pPr>
        <w:autoSpaceDE w:val="0"/>
        <w:autoSpaceDN w:val="0"/>
        <w:adjustRightInd w:val="0"/>
        <w:rPr>
          <w:rFonts w:ascii="Verdana" w:hAnsi="Verdana"/>
          <w:noProof/>
        </w:rPr>
      </w:pPr>
    </w:p>
    <w:p w14:paraId="78E551DC" w14:textId="77777777" w:rsidR="00250F4B" w:rsidRPr="007A199E" w:rsidRDefault="00250F4B" w:rsidP="00250F4B">
      <w:pPr>
        <w:pStyle w:val="Default"/>
        <w:rPr>
          <w:rFonts w:ascii="Verdana" w:hAnsi="Verdana"/>
          <w:color w:val="auto"/>
          <w:sz w:val="22"/>
          <w:szCs w:val="22"/>
        </w:rPr>
      </w:pPr>
      <w:r w:rsidRPr="007A199E">
        <w:rPr>
          <w:rFonts w:ascii="Verdana" w:hAnsi="Verdana"/>
          <w:color w:val="auto"/>
          <w:sz w:val="22"/>
          <w:szCs w:val="22"/>
        </w:rPr>
        <w:t>&lt;Herbal Medicine&gt; &lt;Homeopathic Medicine&gt;</w:t>
      </w:r>
      <w:r>
        <w:rPr>
          <w:rFonts w:ascii="Verdana" w:hAnsi="Verdana"/>
          <w:color w:val="auto"/>
          <w:sz w:val="22"/>
          <w:szCs w:val="22"/>
        </w:rPr>
        <w:t xml:space="preserve"> &lt;Vaccine&gt; &lt;Biological&gt;</w:t>
      </w:r>
    </w:p>
    <w:p w14:paraId="5A1722D8" w14:textId="77777777" w:rsidR="00E16BC7" w:rsidRPr="009F54A7" w:rsidRDefault="00E16BC7" w:rsidP="009F54A7">
      <w:pPr>
        <w:autoSpaceDE w:val="0"/>
        <w:autoSpaceDN w:val="0"/>
        <w:adjustRightInd w:val="0"/>
        <w:rPr>
          <w:rFonts w:ascii="Verdana" w:hAnsi="Verdana"/>
          <w:noProof/>
        </w:rPr>
      </w:pPr>
    </w:p>
    <w:p w14:paraId="13A7953C" w14:textId="77777777" w:rsidR="009F54A7" w:rsidRPr="009F54A7" w:rsidRDefault="009F54A7" w:rsidP="00E16BC7">
      <w:pPr>
        <w:ind w:left="720" w:hanging="720"/>
        <w:rPr>
          <w:rFonts w:ascii="Verdana" w:hAnsi="Verdana"/>
          <w:b/>
          <w:noProof/>
        </w:rPr>
      </w:pPr>
      <w:r w:rsidRPr="009F54A7">
        <w:rPr>
          <w:rFonts w:ascii="Verdana" w:hAnsi="Verdana"/>
          <w:b/>
          <w:noProof/>
        </w:rPr>
        <w:t>2.</w:t>
      </w:r>
      <w:r w:rsidRPr="009F54A7">
        <w:rPr>
          <w:rFonts w:ascii="Verdana" w:hAnsi="Verdana"/>
          <w:b/>
          <w:noProof/>
        </w:rPr>
        <w:tab/>
        <w:t>QUALITATIVE AND QUANTITATIVE COMPOSITION</w:t>
      </w:r>
    </w:p>
    <w:p w14:paraId="1F14E754" w14:textId="77777777" w:rsidR="009F54A7" w:rsidRPr="009F54A7" w:rsidRDefault="009F54A7" w:rsidP="009F54A7">
      <w:pPr>
        <w:rPr>
          <w:rFonts w:ascii="Verdana" w:hAnsi="Verdana"/>
          <w:bCs/>
          <w:noProof/>
        </w:rPr>
      </w:pPr>
    </w:p>
    <w:p w14:paraId="7FFB54C2" w14:textId="77777777" w:rsidR="009F54A7" w:rsidRPr="009F54A7" w:rsidRDefault="009F54A7" w:rsidP="009F54A7">
      <w:pPr>
        <w:pStyle w:val="EMEAEnBodyText"/>
        <w:autoSpaceDE w:val="0"/>
        <w:autoSpaceDN w:val="0"/>
        <w:adjustRightInd w:val="0"/>
        <w:spacing w:before="0" w:after="0"/>
        <w:jc w:val="left"/>
        <w:rPr>
          <w:rFonts w:ascii="Verdana" w:hAnsi="Verdana" w:cstheme="minorBidi"/>
          <w:bCs/>
          <w:noProof/>
          <w:szCs w:val="22"/>
          <w:lang w:val="en-GB"/>
        </w:rPr>
      </w:pPr>
      <w:r w:rsidRPr="009F54A7">
        <w:rPr>
          <w:rFonts w:ascii="Verdana" w:hAnsi="Verdana" w:cstheme="minorBidi"/>
          <w:bCs/>
          <w:noProof/>
          <w:szCs w:val="22"/>
          <w:lang w:val="en-GB"/>
        </w:rPr>
        <w:t>&lt;Excipient(s):&gt;</w:t>
      </w:r>
    </w:p>
    <w:p w14:paraId="67EF8F1C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For a full list of excipients, see Section 6.1.</w:t>
      </w:r>
    </w:p>
    <w:p w14:paraId="23404A47" w14:textId="44A0A304" w:rsidR="009F54A7" w:rsidRDefault="009F54A7" w:rsidP="009F54A7">
      <w:pPr>
        <w:autoSpaceDE w:val="0"/>
        <w:autoSpaceDN w:val="0"/>
        <w:adjustRightInd w:val="0"/>
        <w:rPr>
          <w:rFonts w:ascii="Verdana" w:hAnsi="Verdana"/>
          <w:noProof/>
        </w:rPr>
      </w:pPr>
    </w:p>
    <w:p w14:paraId="619AB588" w14:textId="77777777" w:rsidR="00E16BC7" w:rsidRPr="009F54A7" w:rsidRDefault="00E16BC7" w:rsidP="009F54A7">
      <w:pPr>
        <w:autoSpaceDE w:val="0"/>
        <w:autoSpaceDN w:val="0"/>
        <w:adjustRightInd w:val="0"/>
        <w:rPr>
          <w:rFonts w:ascii="Verdana" w:hAnsi="Verdana"/>
          <w:noProof/>
        </w:rPr>
      </w:pPr>
    </w:p>
    <w:p w14:paraId="746E4C73" w14:textId="77777777" w:rsidR="009F54A7" w:rsidRPr="009F54A7" w:rsidRDefault="009F54A7" w:rsidP="00E16BC7">
      <w:pPr>
        <w:ind w:left="720" w:hanging="720"/>
        <w:rPr>
          <w:rFonts w:ascii="Verdana" w:hAnsi="Verdana"/>
          <w:b/>
          <w:noProof/>
        </w:rPr>
      </w:pPr>
      <w:r w:rsidRPr="009F54A7">
        <w:rPr>
          <w:rFonts w:ascii="Verdana" w:hAnsi="Verdana"/>
          <w:b/>
          <w:noProof/>
        </w:rPr>
        <w:t>3.</w:t>
      </w:r>
      <w:r w:rsidRPr="009F54A7">
        <w:rPr>
          <w:rFonts w:ascii="Verdana" w:hAnsi="Verdana"/>
          <w:b/>
          <w:noProof/>
        </w:rPr>
        <w:tab/>
        <w:t xml:space="preserve">PHARMACEUTICAL </w:t>
      </w:r>
      <w:r w:rsidRPr="00E16BC7">
        <w:rPr>
          <w:rFonts w:ascii="Verdana" w:hAnsi="Verdana"/>
          <w:b/>
          <w:caps/>
          <w:noProof/>
        </w:rPr>
        <w:t>form</w:t>
      </w:r>
    </w:p>
    <w:p w14:paraId="4677BCA1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7A8C5935" w14:textId="77777777" w:rsidR="009F54A7" w:rsidRPr="009F54A7" w:rsidRDefault="009F54A7" w:rsidP="00AB7A2B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&lt;The scoreline is only to facilitate breaking for ease of swallowing and not to divide into equal doses.&gt;</w:t>
      </w:r>
    </w:p>
    <w:p w14:paraId="47E0056C" w14:textId="77777777" w:rsidR="009F54A7" w:rsidRPr="009F54A7" w:rsidRDefault="009F54A7" w:rsidP="00AB7A2B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&lt;The tablet can be divided into equal halves.&gt;</w:t>
      </w:r>
    </w:p>
    <w:p w14:paraId="548939EA" w14:textId="77777777" w:rsidR="009F54A7" w:rsidRPr="009F54A7" w:rsidRDefault="009F54A7" w:rsidP="00AB7A2B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&lt;The tablet should not be divided.&gt;</w:t>
      </w:r>
    </w:p>
    <w:p w14:paraId="2F7FA7A4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4F4F0C0E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268E47E2" w14:textId="77777777" w:rsidR="009F54A7" w:rsidRPr="009F54A7" w:rsidRDefault="009F54A7" w:rsidP="00E16BC7">
      <w:pPr>
        <w:ind w:left="720" w:hanging="720"/>
        <w:rPr>
          <w:rFonts w:ascii="Verdana" w:hAnsi="Verdana"/>
          <w:b/>
          <w:noProof/>
        </w:rPr>
      </w:pPr>
      <w:r w:rsidRPr="009F54A7">
        <w:rPr>
          <w:rFonts w:ascii="Verdana" w:hAnsi="Verdana"/>
          <w:b/>
          <w:noProof/>
        </w:rPr>
        <w:t>4.</w:t>
      </w:r>
      <w:r w:rsidRPr="009F54A7">
        <w:rPr>
          <w:rFonts w:ascii="Verdana" w:hAnsi="Verdana"/>
          <w:b/>
          <w:noProof/>
        </w:rPr>
        <w:tab/>
      </w:r>
      <w:r w:rsidRPr="00E16BC7">
        <w:rPr>
          <w:rFonts w:ascii="Verdana" w:hAnsi="Verdana"/>
          <w:b/>
          <w:caps/>
          <w:noProof/>
        </w:rPr>
        <w:t>Clinical particulars</w:t>
      </w:r>
    </w:p>
    <w:p w14:paraId="3B6877ED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31CD9C3C" w14:textId="77777777" w:rsidR="009F54A7" w:rsidRPr="009F54A7" w:rsidRDefault="009F54A7" w:rsidP="00E16BC7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4.1</w:t>
      </w:r>
      <w:r w:rsidRPr="009F54A7">
        <w:rPr>
          <w:rFonts w:ascii="Verdana" w:hAnsi="Verdana"/>
          <w:b/>
          <w:noProof/>
        </w:rPr>
        <w:tab/>
        <w:t>Therapeutic indications</w:t>
      </w:r>
    </w:p>
    <w:p w14:paraId="37EF7B2B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7955047F" w14:textId="77777777" w:rsidR="009F54A7" w:rsidRPr="009F54A7" w:rsidRDefault="009F54A7" w:rsidP="00AB7A2B">
      <w:pPr>
        <w:rPr>
          <w:rFonts w:ascii="Verdana" w:hAnsi="Verdana"/>
          <w:i/>
          <w:color w:val="000000"/>
        </w:rPr>
      </w:pPr>
      <w:r w:rsidRPr="009F54A7">
        <w:rPr>
          <w:rFonts w:ascii="Verdana" w:hAnsi="Verdana"/>
        </w:rPr>
        <w:t>&lt;{</w:t>
      </w:r>
      <w:r w:rsidRPr="009F54A7">
        <w:rPr>
          <w:rFonts w:ascii="Verdana" w:hAnsi="Verdana"/>
          <w:color w:val="000000"/>
        </w:rPr>
        <w:t>X} is indicated in &lt;adults&gt; &lt;neonates&gt; &lt;infants&gt; &lt;children&gt; &lt;adolescents&gt; &lt;</w:t>
      </w:r>
      <w:r w:rsidRPr="009F54A7">
        <w:rPr>
          <w:rFonts w:ascii="Verdana" w:hAnsi="Verdana"/>
        </w:rPr>
        <w:t xml:space="preserve">aged {x </w:t>
      </w:r>
      <w:proofErr w:type="spellStart"/>
      <w:r w:rsidRPr="009F54A7">
        <w:rPr>
          <w:rFonts w:ascii="Verdana" w:hAnsi="Verdana"/>
        </w:rPr>
        <w:t>to y</w:t>
      </w:r>
      <w:proofErr w:type="spellEnd"/>
      <w:r w:rsidRPr="009F54A7">
        <w:rPr>
          <w:rFonts w:ascii="Verdana" w:hAnsi="Verdana"/>
        </w:rPr>
        <w:t>}&gt; &lt;years&gt; &lt;months&gt;&gt;.&gt;</w:t>
      </w:r>
      <w:r w:rsidRPr="009F54A7">
        <w:rPr>
          <w:rFonts w:ascii="Verdana" w:hAnsi="Verdana"/>
          <w:i/>
          <w:color w:val="000000"/>
        </w:rPr>
        <w:t xml:space="preserve"> </w:t>
      </w:r>
    </w:p>
    <w:p w14:paraId="4D9A8135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3B5BBEDF" w14:textId="77777777" w:rsidR="009F54A7" w:rsidRPr="009F54A7" w:rsidRDefault="009F54A7" w:rsidP="00AB7A2B">
      <w:pPr>
        <w:widowControl/>
        <w:numPr>
          <w:ilvl w:val="1"/>
          <w:numId w:val="5"/>
        </w:numPr>
        <w:tabs>
          <w:tab w:val="clear" w:pos="570"/>
        </w:tabs>
        <w:ind w:left="720" w:hanging="720"/>
        <w:outlineLvl w:val="0"/>
        <w:rPr>
          <w:rFonts w:ascii="Verdana" w:hAnsi="Verdana"/>
          <w:b/>
          <w:noProof/>
        </w:rPr>
      </w:pPr>
      <w:r w:rsidRPr="009F54A7">
        <w:rPr>
          <w:rFonts w:ascii="Verdana" w:hAnsi="Verdana"/>
          <w:b/>
          <w:noProof/>
        </w:rPr>
        <w:t>Posology and method of administration</w:t>
      </w:r>
    </w:p>
    <w:p w14:paraId="49B64B13" w14:textId="77777777" w:rsidR="009F54A7" w:rsidRPr="009F54A7" w:rsidRDefault="009F54A7" w:rsidP="009F54A7">
      <w:pPr>
        <w:rPr>
          <w:rFonts w:ascii="Verdana" w:hAnsi="Verdana"/>
          <w:b/>
          <w:noProof/>
        </w:rPr>
      </w:pPr>
    </w:p>
    <w:p w14:paraId="716AFE7A" w14:textId="77777777" w:rsidR="009F54A7" w:rsidRPr="009F54A7" w:rsidRDefault="009F54A7" w:rsidP="009F54A7">
      <w:pPr>
        <w:rPr>
          <w:rFonts w:ascii="Verdana" w:hAnsi="Verdana"/>
          <w:u w:val="single"/>
        </w:rPr>
      </w:pPr>
      <w:r w:rsidRPr="009F54A7">
        <w:rPr>
          <w:rFonts w:ascii="Verdana" w:hAnsi="Verdana"/>
          <w:u w:val="single"/>
        </w:rPr>
        <w:t>Posology</w:t>
      </w:r>
    </w:p>
    <w:p w14:paraId="30B181B6" w14:textId="77777777" w:rsidR="009F54A7" w:rsidRPr="009F54A7" w:rsidRDefault="009F54A7" w:rsidP="009F54A7">
      <w:pPr>
        <w:rPr>
          <w:rFonts w:ascii="Verdana" w:hAnsi="Verdana"/>
          <w:u w:val="single"/>
        </w:rPr>
      </w:pPr>
    </w:p>
    <w:p w14:paraId="24C9F278" w14:textId="77777777" w:rsidR="009F54A7" w:rsidRPr="002B0851" w:rsidRDefault="009F54A7" w:rsidP="009F54A7">
      <w:pPr>
        <w:rPr>
          <w:rFonts w:ascii="Verdana" w:hAnsi="Verdana"/>
          <w:bCs/>
        </w:rPr>
      </w:pPr>
      <w:proofErr w:type="spellStart"/>
      <w:r w:rsidRPr="009F54A7">
        <w:rPr>
          <w:rFonts w:ascii="Verdana" w:hAnsi="Verdana"/>
          <w:bCs/>
          <w:i/>
          <w:iCs/>
        </w:rPr>
        <w:t>Paediatric</w:t>
      </w:r>
      <w:proofErr w:type="spellEnd"/>
      <w:r w:rsidRPr="009F54A7">
        <w:rPr>
          <w:rFonts w:ascii="Verdana" w:hAnsi="Verdana"/>
          <w:bCs/>
          <w:i/>
          <w:iCs/>
        </w:rPr>
        <w:t xml:space="preserve"> population</w:t>
      </w:r>
    </w:p>
    <w:p w14:paraId="7267A6C7" w14:textId="77777777" w:rsidR="009F54A7" w:rsidRPr="009F54A7" w:rsidRDefault="009F54A7" w:rsidP="009F54A7">
      <w:pPr>
        <w:autoSpaceDE w:val="0"/>
        <w:autoSpaceDN w:val="0"/>
        <w:adjustRightInd w:val="0"/>
        <w:rPr>
          <w:rFonts w:ascii="Verdana" w:hAnsi="Verdana"/>
        </w:rPr>
      </w:pPr>
    </w:p>
    <w:p w14:paraId="0D76218C" w14:textId="77777777" w:rsidR="009F54A7" w:rsidRPr="00E16BC7" w:rsidRDefault="009F54A7" w:rsidP="00AB7A2B">
      <w:pPr>
        <w:autoSpaceDE w:val="0"/>
        <w:autoSpaceDN w:val="0"/>
        <w:adjustRightInd w:val="0"/>
        <w:rPr>
          <w:rFonts w:ascii="Verdana" w:hAnsi="Verdana"/>
          <w:iCs/>
          <w:noProof/>
        </w:rPr>
      </w:pPr>
      <w:r w:rsidRPr="009F54A7">
        <w:rPr>
          <w:rFonts w:ascii="Verdana" w:hAnsi="Verdana"/>
        </w:rPr>
        <w:t xml:space="preserve">&lt;The &lt;safety&gt; &lt;and&gt; &lt;efficacy&gt; of {X} in children aged {x </w:t>
      </w:r>
      <w:proofErr w:type="spellStart"/>
      <w:r w:rsidRPr="009F54A7">
        <w:rPr>
          <w:rFonts w:ascii="Verdana" w:hAnsi="Verdana"/>
        </w:rPr>
        <w:t>to y</w:t>
      </w:r>
      <w:proofErr w:type="spellEnd"/>
      <w:r w:rsidRPr="009F54A7">
        <w:rPr>
          <w:rFonts w:ascii="Verdana" w:hAnsi="Verdana"/>
        </w:rPr>
        <w:t>} &lt;months&gt; &lt;years&gt; {or any other relevant subsets e.g. weight, pubertal age, gender} &lt;has&gt; &lt;have&gt; not &lt;yet&gt; been established.&gt;</w:t>
      </w:r>
    </w:p>
    <w:p w14:paraId="07F1B814" w14:textId="77777777" w:rsidR="009F54A7" w:rsidRPr="009F54A7" w:rsidRDefault="009F54A7" w:rsidP="00AB7A2B">
      <w:pPr>
        <w:autoSpaceDE w:val="0"/>
        <w:autoSpaceDN w:val="0"/>
        <w:adjustRightInd w:val="0"/>
        <w:rPr>
          <w:rFonts w:ascii="Verdana" w:hAnsi="Verdana"/>
        </w:rPr>
      </w:pPr>
    </w:p>
    <w:p w14:paraId="5F2F7DED" w14:textId="77777777" w:rsidR="009F54A7" w:rsidRPr="009F54A7" w:rsidRDefault="009F54A7" w:rsidP="00AB7A2B">
      <w:pPr>
        <w:autoSpaceDE w:val="0"/>
        <w:autoSpaceDN w:val="0"/>
        <w:adjustRightInd w:val="0"/>
        <w:rPr>
          <w:rFonts w:ascii="Verdana" w:hAnsi="Verdana"/>
        </w:rPr>
      </w:pPr>
      <w:r w:rsidRPr="009F54A7">
        <w:rPr>
          <w:rFonts w:ascii="Verdana" w:hAnsi="Verdana"/>
        </w:rPr>
        <w:t>&lt;No data are available.&gt; &lt;Currently available data are described in Section &lt;4.8&gt; &lt;5.1&gt; &lt;5.2&gt;</w:t>
      </w:r>
      <w:r w:rsidRPr="009F54A7">
        <w:rPr>
          <w:rFonts w:ascii="Verdana" w:hAnsi="Verdana"/>
          <w:color w:val="008000"/>
        </w:rPr>
        <w:t xml:space="preserve"> </w:t>
      </w:r>
      <w:r w:rsidRPr="009F54A7">
        <w:rPr>
          <w:rFonts w:ascii="Verdana" w:hAnsi="Verdana"/>
        </w:rPr>
        <w:t>but no recommendation on a posology can be made.&gt;</w:t>
      </w:r>
    </w:p>
    <w:p w14:paraId="3BFEE2D0" w14:textId="77777777" w:rsidR="009F54A7" w:rsidRPr="009F54A7" w:rsidRDefault="009F54A7" w:rsidP="00AB7A2B">
      <w:pPr>
        <w:autoSpaceDE w:val="0"/>
        <w:autoSpaceDN w:val="0"/>
        <w:adjustRightInd w:val="0"/>
        <w:rPr>
          <w:rFonts w:ascii="Verdana" w:hAnsi="Verdana"/>
          <w:i/>
        </w:rPr>
      </w:pPr>
    </w:p>
    <w:p w14:paraId="3C5006C0" w14:textId="77777777" w:rsidR="009F54A7" w:rsidRPr="00E16BC7" w:rsidRDefault="009F54A7" w:rsidP="00AB7A2B">
      <w:pPr>
        <w:autoSpaceDE w:val="0"/>
        <w:autoSpaceDN w:val="0"/>
        <w:adjustRightInd w:val="0"/>
        <w:rPr>
          <w:rFonts w:ascii="Verdana" w:hAnsi="Verdana"/>
          <w:iCs/>
          <w:noProof/>
        </w:rPr>
      </w:pPr>
      <w:r w:rsidRPr="009F54A7">
        <w:rPr>
          <w:rFonts w:ascii="Verdana" w:hAnsi="Verdana"/>
          <w:i/>
        </w:rPr>
        <w:t>&lt;{</w:t>
      </w:r>
      <w:r w:rsidRPr="009F54A7">
        <w:rPr>
          <w:rFonts w:ascii="Verdana" w:hAnsi="Verdana"/>
        </w:rPr>
        <w:t xml:space="preserve">X} should not be used in children aged {x </w:t>
      </w:r>
      <w:proofErr w:type="spellStart"/>
      <w:r w:rsidRPr="009F54A7">
        <w:rPr>
          <w:rFonts w:ascii="Verdana" w:hAnsi="Verdana"/>
        </w:rPr>
        <w:t>to y</w:t>
      </w:r>
      <w:proofErr w:type="spellEnd"/>
      <w:r w:rsidRPr="009F54A7">
        <w:rPr>
          <w:rFonts w:ascii="Verdana" w:hAnsi="Verdana"/>
        </w:rPr>
        <w:t>} &lt;years&gt; &lt;months&gt; {or any other relevant subsets e.g. weight, pubertal age, gender} because of &lt;safety&gt; &lt;efficacy&gt; concern(s</w:t>
      </w:r>
      <w:r w:rsidRPr="009F54A7">
        <w:rPr>
          <w:rFonts w:ascii="Verdana" w:hAnsi="Verdana"/>
          <w:i/>
          <w:iCs/>
        </w:rPr>
        <w:t>).&gt;</w:t>
      </w:r>
    </w:p>
    <w:p w14:paraId="651FCEA3" w14:textId="77777777" w:rsidR="009F54A7" w:rsidRPr="009F54A7" w:rsidRDefault="009F54A7" w:rsidP="009F54A7">
      <w:pPr>
        <w:autoSpaceDE w:val="0"/>
        <w:autoSpaceDN w:val="0"/>
        <w:adjustRightInd w:val="0"/>
        <w:jc w:val="both"/>
        <w:rPr>
          <w:rFonts w:ascii="Verdana" w:hAnsi="Verdana"/>
          <w:highlight w:val="yellow"/>
        </w:rPr>
      </w:pPr>
    </w:p>
    <w:p w14:paraId="104729B8" w14:textId="77777777" w:rsidR="009F54A7" w:rsidRPr="00E16BC7" w:rsidRDefault="009F54A7" w:rsidP="00AB7A2B">
      <w:pPr>
        <w:autoSpaceDE w:val="0"/>
        <w:autoSpaceDN w:val="0"/>
        <w:adjustRightInd w:val="0"/>
        <w:rPr>
          <w:rFonts w:ascii="Verdana" w:hAnsi="Verdana"/>
          <w:iCs/>
          <w:noProof/>
        </w:rPr>
      </w:pPr>
      <w:r w:rsidRPr="009F54A7">
        <w:rPr>
          <w:rFonts w:ascii="Verdana" w:hAnsi="Verdana"/>
        </w:rPr>
        <w:t xml:space="preserve">&lt;There is no relevant use of {X} &lt;in the </w:t>
      </w:r>
      <w:proofErr w:type="spellStart"/>
      <w:r w:rsidRPr="009F54A7">
        <w:rPr>
          <w:rFonts w:ascii="Verdana" w:hAnsi="Verdana"/>
        </w:rPr>
        <w:t>paediatric</w:t>
      </w:r>
      <w:proofErr w:type="spellEnd"/>
      <w:r w:rsidRPr="009F54A7">
        <w:rPr>
          <w:rFonts w:ascii="Verdana" w:hAnsi="Verdana"/>
        </w:rPr>
        <w:t xml:space="preserve"> population&gt; &lt;in children aged {x </w:t>
      </w:r>
      <w:proofErr w:type="spellStart"/>
      <w:r w:rsidRPr="009F54A7">
        <w:rPr>
          <w:rFonts w:ascii="Verdana" w:hAnsi="Verdana"/>
        </w:rPr>
        <w:t>to y</w:t>
      </w:r>
      <w:proofErr w:type="spellEnd"/>
      <w:r w:rsidRPr="009F54A7">
        <w:rPr>
          <w:rFonts w:ascii="Verdana" w:hAnsi="Verdana"/>
        </w:rPr>
        <w:t xml:space="preserve">} &lt;years&gt;, &lt;months&gt; {or any other relevant subsets e.g. weight, pubertal age, gender} &lt;in the indication...&gt; </w:t>
      </w:r>
    </w:p>
    <w:p w14:paraId="15183DE8" w14:textId="77777777" w:rsidR="009F54A7" w:rsidRPr="009F54A7" w:rsidRDefault="009F54A7" w:rsidP="00AB7A2B">
      <w:pPr>
        <w:autoSpaceDE w:val="0"/>
        <w:autoSpaceDN w:val="0"/>
        <w:adjustRightInd w:val="0"/>
        <w:rPr>
          <w:rFonts w:ascii="Verdana" w:hAnsi="Verdana"/>
        </w:rPr>
      </w:pPr>
    </w:p>
    <w:p w14:paraId="5E0B9A63" w14:textId="77777777" w:rsidR="009F54A7" w:rsidRPr="009F54A7" w:rsidRDefault="009F54A7" w:rsidP="00AB7A2B">
      <w:pPr>
        <w:autoSpaceDE w:val="0"/>
        <w:autoSpaceDN w:val="0"/>
        <w:adjustRightInd w:val="0"/>
        <w:rPr>
          <w:rFonts w:ascii="Verdana" w:hAnsi="Verdana"/>
        </w:rPr>
      </w:pPr>
      <w:r w:rsidRPr="009F54A7">
        <w:rPr>
          <w:rFonts w:ascii="Verdana" w:hAnsi="Verdana"/>
        </w:rPr>
        <w:t xml:space="preserve">&lt;{X} is contraindicated in children aged {x </w:t>
      </w:r>
      <w:proofErr w:type="spellStart"/>
      <w:r w:rsidRPr="009F54A7">
        <w:rPr>
          <w:rFonts w:ascii="Verdana" w:hAnsi="Verdana"/>
        </w:rPr>
        <w:t>to y</w:t>
      </w:r>
      <w:proofErr w:type="spellEnd"/>
      <w:r w:rsidRPr="009F54A7">
        <w:rPr>
          <w:rFonts w:ascii="Verdana" w:hAnsi="Verdana"/>
        </w:rPr>
        <w:t>} &lt;years&gt; &lt;months&gt; {or any other relevant subsets e.g. weight, pubertal age, gender} &lt;in the indication...&gt; (see Section 4.3).&gt;</w:t>
      </w:r>
    </w:p>
    <w:p w14:paraId="7E2EAF23" w14:textId="77777777" w:rsidR="009F54A7" w:rsidRPr="00E16BC7" w:rsidRDefault="009F54A7" w:rsidP="009F54A7">
      <w:pPr>
        <w:autoSpaceDE w:val="0"/>
        <w:autoSpaceDN w:val="0"/>
        <w:adjustRightInd w:val="0"/>
        <w:rPr>
          <w:rFonts w:ascii="Verdana" w:hAnsi="Verdana"/>
          <w:bCs/>
          <w:iCs/>
        </w:rPr>
      </w:pPr>
    </w:p>
    <w:p w14:paraId="6001D67C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u w:val="single"/>
        </w:rPr>
        <w:t>Method of administration</w:t>
      </w:r>
    </w:p>
    <w:p w14:paraId="418E4E27" w14:textId="77777777" w:rsidR="009F54A7" w:rsidRPr="00AB7A2B" w:rsidRDefault="009F54A7" w:rsidP="009F54A7">
      <w:pPr>
        <w:ind w:left="567" w:hanging="567"/>
        <w:rPr>
          <w:rFonts w:ascii="Verdana" w:hAnsi="Verdana"/>
          <w:bCs/>
          <w:noProof/>
        </w:rPr>
      </w:pPr>
    </w:p>
    <w:p w14:paraId="0B5918B8" w14:textId="77777777" w:rsidR="009F54A7" w:rsidRPr="009F54A7" w:rsidRDefault="009F54A7" w:rsidP="00AB7A2B">
      <w:pPr>
        <w:ind w:left="720" w:hanging="72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4.3</w:t>
      </w:r>
      <w:r w:rsidRPr="009F54A7">
        <w:rPr>
          <w:rFonts w:ascii="Verdana" w:hAnsi="Verdana"/>
          <w:b/>
          <w:noProof/>
        </w:rPr>
        <w:tab/>
        <w:t>Contraindications</w:t>
      </w:r>
    </w:p>
    <w:p w14:paraId="7416098E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0C798E11" w14:textId="77777777" w:rsidR="009F54A7" w:rsidRPr="009F54A7" w:rsidRDefault="009F54A7" w:rsidP="00AB7A2B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&lt;Hypersensitivity to the active substance(s) or to any of the excipients &lt;or {name of the residue(s)}&gt;.&gt;</w:t>
      </w:r>
    </w:p>
    <w:p w14:paraId="2E4BD0DC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2D98419E" w14:textId="77777777" w:rsidR="009F54A7" w:rsidRPr="009F54A7" w:rsidRDefault="009F54A7" w:rsidP="00AB7A2B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4.4</w:t>
      </w:r>
      <w:r w:rsidRPr="009F54A7">
        <w:rPr>
          <w:rFonts w:ascii="Verdana" w:hAnsi="Verdana"/>
          <w:b/>
          <w:noProof/>
        </w:rPr>
        <w:tab/>
        <w:t>Special warnings and precautions for use</w:t>
      </w:r>
    </w:p>
    <w:p w14:paraId="451A1EFE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1623D2E3" w14:textId="77777777" w:rsidR="009F54A7" w:rsidRPr="009F54A7" w:rsidRDefault="009F54A7" w:rsidP="00AB7A2B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4.5</w:t>
      </w:r>
      <w:r w:rsidRPr="009F54A7">
        <w:rPr>
          <w:rFonts w:ascii="Verdana" w:hAnsi="Verdana"/>
          <w:b/>
          <w:noProof/>
        </w:rPr>
        <w:tab/>
        <w:t>Interaction with other medicinal products and other forms of interaction</w:t>
      </w:r>
    </w:p>
    <w:p w14:paraId="775E156B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6F68AA98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&lt;No interaction studies have been performed.&gt;</w:t>
      </w:r>
    </w:p>
    <w:p w14:paraId="1D658BD2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5BB1C1D7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&lt;Interaction studies have only been performed in adults.&gt;</w:t>
      </w:r>
    </w:p>
    <w:p w14:paraId="4D664B0B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6859BB16" w14:textId="77777777" w:rsidR="009F54A7" w:rsidRPr="009F54A7" w:rsidRDefault="009F54A7" w:rsidP="00AB7A2B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4.6</w:t>
      </w:r>
      <w:r w:rsidRPr="009F54A7">
        <w:rPr>
          <w:rFonts w:ascii="Verdana" w:hAnsi="Verdana"/>
          <w:b/>
          <w:noProof/>
        </w:rPr>
        <w:tab/>
        <w:t>Pregnancy and lactation</w:t>
      </w:r>
    </w:p>
    <w:p w14:paraId="556B2FE1" w14:textId="77777777" w:rsidR="009F54A7" w:rsidRPr="00AB7A2B" w:rsidRDefault="009F54A7" w:rsidP="009F54A7">
      <w:pPr>
        <w:rPr>
          <w:rFonts w:ascii="Verdana" w:hAnsi="Verdana"/>
          <w:iCs/>
          <w:noProof/>
        </w:rPr>
      </w:pPr>
    </w:p>
    <w:p w14:paraId="77B724F5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&lt;Women of childbearing potential&gt;</w:t>
      </w:r>
    </w:p>
    <w:p w14:paraId="4811B7CD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6AC5036B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&lt;Contraception in males and females&gt;</w:t>
      </w:r>
    </w:p>
    <w:p w14:paraId="232118CF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47C17745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&lt;Pregnancy&gt;</w:t>
      </w:r>
    </w:p>
    <w:p w14:paraId="64096323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572D2415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&lt;Breastfeeding&gt;</w:t>
      </w:r>
    </w:p>
    <w:p w14:paraId="79CE28D2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7500EF68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&lt;Fertility&gt;</w:t>
      </w:r>
    </w:p>
    <w:p w14:paraId="3FED5102" w14:textId="77777777" w:rsidR="009F54A7" w:rsidRPr="00AB7A2B" w:rsidRDefault="009F54A7" w:rsidP="009F54A7">
      <w:pPr>
        <w:ind w:left="567" w:hanging="567"/>
        <w:outlineLvl w:val="0"/>
        <w:rPr>
          <w:rFonts w:ascii="Verdana" w:hAnsi="Verdana"/>
          <w:bCs/>
          <w:noProof/>
        </w:rPr>
      </w:pPr>
    </w:p>
    <w:p w14:paraId="0E4986AE" w14:textId="77777777" w:rsidR="009F54A7" w:rsidRPr="009F54A7" w:rsidRDefault="009F54A7" w:rsidP="00AB7A2B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4.7</w:t>
      </w:r>
      <w:r w:rsidRPr="009F54A7">
        <w:rPr>
          <w:rFonts w:ascii="Verdana" w:hAnsi="Verdana"/>
          <w:b/>
          <w:noProof/>
        </w:rPr>
        <w:tab/>
        <w:t>Effects on ability to drive and use machines</w:t>
      </w:r>
    </w:p>
    <w:p w14:paraId="35C08998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366B5187" w14:textId="77777777" w:rsidR="009F54A7" w:rsidRPr="009F54A7" w:rsidRDefault="009F54A7" w:rsidP="00AB7A2B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&lt;{Invented name} has &lt;no &lt;or negligible&gt; influence&gt; &lt;minor influence&gt;, &lt;moderate influence&gt; &lt;major influence&gt; on the ability to drive and use machines.&gt;</w:t>
      </w:r>
    </w:p>
    <w:p w14:paraId="4E23828E" w14:textId="77777777" w:rsidR="009F54A7" w:rsidRPr="009F54A7" w:rsidRDefault="009F54A7" w:rsidP="00AB7A2B">
      <w:pPr>
        <w:rPr>
          <w:rFonts w:ascii="Verdana" w:hAnsi="Verdana"/>
          <w:noProof/>
        </w:rPr>
      </w:pPr>
    </w:p>
    <w:p w14:paraId="43546B9C" w14:textId="77777777" w:rsidR="009F54A7" w:rsidRPr="009F54A7" w:rsidRDefault="009F54A7" w:rsidP="00AB7A2B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&lt;No studies on the effects on the ability to drive and use machines have been performed.&gt;</w:t>
      </w:r>
    </w:p>
    <w:p w14:paraId="18B11A56" w14:textId="77777777" w:rsidR="009F54A7" w:rsidRPr="009F54A7" w:rsidRDefault="009F54A7" w:rsidP="00AB7A2B">
      <w:pPr>
        <w:rPr>
          <w:rFonts w:ascii="Verdana" w:hAnsi="Verdana"/>
          <w:noProof/>
        </w:rPr>
      </w:pPr>
    </w:p>
    <w:p w14:paraId="5D4C26D6" w14:textId="77777777" w:rsidR="009F54A7" w:rsidRPr="009F54A7" w:rsidRDefault="009F54A7" w:rsidP="00AB7A2B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&lt;Not relevant.&gt;</w:t>
      </w:r>
    </w:p>
    <w:p w14:paraId="4D7AD887" w14:textId="77777777" w:rsidR="009F54A7" w:rsidRPr="009F54A7" w:rsidRDefault="009F54A7" w:rsidP="00AB7A2B">
      <w:pPr>
        <w:rPr>
          <w:rFonts w:ascii="Verdana" w:hAnsi="Verdana"/>
          <w:noProof/>
        </w:rPr>
      </w:pPr>
    </w:p>
    <w:p w14:paraId="7CD18563" w14:textId="77777777" w:rsidR="009F54A7" w:rsidRPr="009F54A7" w:rsidRDefault="009F54A7" w:rsidP="00232F57">
      <w:pPr>
        <w:widowControl/>
        <w:numPr>
          <w:ilvl w:val="1"/>
          <w:numId w:val="3"/>
        </w:numPr>
        <w:tabs>
          <w:tab w:val="clear" w:pos="570"/>
        </w:tabs>
        <w:ind w:left="720" w:hanging="720"/>
        <w:outlineLvl w:val="0"/>
        <w:rPr>
          <w:rFonts w:ascii="Verdana" w:hAnsi="Verdana"/>
          <w:b/>
          <w:noProof/>
        </w:rPr>
      </w:pPr>
      <w:r w:rsidRPr="009F54A7">
        <w:rPr>
          <w:rFonts w:ascii="Verdana" w:hAnsi="Verdana"/>
          <w:b/>
          <w:noProof/>
        </w:rPr>
        <w:t>Undesirable effects</w:t>
      </w:r>
    </w:p>
    <w:p w14:paraId="0CF718B6" w14:textId="77777777" w:rsidR="009F54A7" w:rsidRPr="00AB7A2B" w:rsidRDefault="009F54A7" w:rsidP="009F54A7">
      <w:pPr>
        <w:rPr>
          <w:rFonts w:ascii="Verdana" w:hAnsi="Verdana"/>
          <w:iCs/>
          <w:noProof/>
        </w:rPr>
      </w:pPr>
    </w:p>
    <w:p w14:paraId="5A0FF43C" w14:textId="77777777" w:rsidR="009F54A7" w:rsidRPr="009F54A7" w:rsidRDefault="009F54A7" w:rsidP="00232F57">
      <w:pPr>
        <w:ind w:left="567" w:hanging="567"/>
        <w:rPr>
          <w:rFonts w:ascii="Verdana" w:hAnsi="Verdana"/>
          <w:i/>
        </w:rPr>
      </w:pPr>
      <w:r w:rsidRPr="009F54A7">
        <w:rPr>
          <w:rFonts w:ascii="Verdana" w:hAnsi="Verdana"/>
          <w:i/>
        </w:rPr>
        <w:t>&lt;</w:t>
      </w:r>
      <w:proofErr w:type="spellStart"/>
      <w:r w:rsidRPr="002B0851">
        <w:rPr>
          <w:rFonts w:ascii="Verdana" w:hAnsi="Verdana"/>
          <w:iCs/>
        </w:rPr>
        <w:t>Paediatric</w:t>
      </w:r>
      <w:proofErr w:type="spellEnd"/>
      <w:r w:rsidRPr="002B0851">
        <w:rPr>
          <w:rFonts w:ascii="Verdana" w:hAnsi="Verdana"/>
          <w:iCs/>
        </w:rPr>
        <w:t xml:space="preserve"> population</w:t>
      </w:r>
      <w:r w:rsidRPr="009F54A7">
        <w:rPr>
          <w:rFonts w:ascii="Verdana" w:hAnsi="Verdana"/>
          <w:i/>
        </w:rPr>
        <w:t>&gt;</w:t>
      </w:r>
    </w:p>
    <w:p w14:paraId="311997BC" w14:textId="77777777" w:rsidR="009F54A7" w:rsidRPr="009F54A7" w:rsidRDefault="009F54A7" w:rsidP="009F54A7">
      <w:pPr>
        <w:ind w:left="567" w:hanging="567"/>
        <w:outlineLvl w:val="0"/>
        <w:rPr>
          <w:rFonts w:ascii="Verdana" w:hAnsi="Verdana"/>
          <w:b/>
          <w:noProof/>
        </w:rPr>
      </w:pPr>
    </w:p>
    <w:p w14:paraId="3DDEDD64" w14:textId="77777777" w:rsidR="009F54A7" w:rsidRPr="009F54A7" w:rsidRDefault="009F54A7" w:rsidP="00232F57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4.9</w:t>
      </w:r>
      <w:r w:rsidRPr="009F54A7">
        <w:rPr>
          <w:rFonts w:ascii="Verdana" w:hAnsi="Verdana"/>
          <w:b/>
          <w:noProof/>
        </w:rPr>
        <w:tab/>
        <w:t>Overdose</w:t>
      </w:r>
    </w:p>
    <w:p w14:paraId="29E013DB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146679D3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&lt;No case of overdose has been reported.&gt;</w:t>
      </w:r>
    </w:p>
    <w:p w14:paraId="3A5C4F25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025520D4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16D90516" w14:textId="77777777" w:rsidR="009F54A7" w:rsidRPr="009F54A7" w:rsidRDefault="009F54A7" w:rsidP="009F54A7">
      <w:pPr>
        <w:rPr>
          <w:rFonts w:ascii="Verdana" w:hAnsi="Verdana"/>
          <w:b/>
          <w:noProof/>
        </w:rPr>
      </w:pPr>
      <w:r w:rsidRPr="009F54A7">
        <w:rPr>
          <w:rFonts w:ascii="Verdana" w:hAnsi="Verdana"/>
          <w:b/>
          <w:noProof/>
        </w:rPr>
        <w:t>5.</w:t>
      </w:r>
      <w:r w:rsidRPr="009F54A7">
        <w:rPr>
          <w:rFonts w:ascii="Verdana" w:hAnsi="Verdana"/>
          <w:b/>
          <w:noProof/>
        </w:rPr>
        <w:tab/>
        <w:t>PHARMACOLOGICAL PROPERTIES</w:t>
      </w:r>
    </w:p>
    <w:p w14:paraId="1EA4ECF2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3822C320" w14:textId="77777777" w:rsidR="009F54A7" w:rsidRPr="009F54A7" w:rsidRDefault="009F54A7" w:rsidP="00232F57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 xml:space="preserve">5.1 </w:t>
      </w:r>
      <w:r w:rsidRPr="009F54A7">
        <w:rPr>
          <w:rFonts w:ascii="Verdana" w:hAnsi="Verdana"/>
          <w:b/>
          <w:noProof/>
        </w:rPr>
        <w:tab/>
        <w:t>Pharmacodynamic properties</w:t>
      </w:r>
    </w:p>
    <w:p w14:paraId="28A479D8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48E3176E" w14:textId="77777777" w:rsidR="009F54A7" w:rsidRPr="009F54A7" w:rsidRDefault="009F54A7" w:rsidP="009F54A7">
      <w:pPr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Pharmacotherapeutic group: {group}, ATC code: {code}</w:t>
      </w:r>
    </w:p>
    <w:p w14:paraId="4B06A722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5946AAD4" w14:textId="77777777" w:rsidR="009F54A7" w:rsidRPr="009F54A7" w:rsidRDefault="009F54A7" w:rsidP="009F54A7">
      <w:pPr>
        <w:autoSpaceDE w:val="0"/>
        <w:autoSpaceDN w:val="0"/>
        <w:adjustRightInd w:val="0"/>
        <w:rPr>
          <w:rFonts w:ascii="Verdana" w:hAnsi="Verdana"/>
        </w:rPr>
      </w:pPr>
      <w:r w:rsidRPr="009F54A7">
        <w:rPr>
          <w:rFonts w:ascii="Verdana" w:hAnsi="Verdana"/>
        </w:rPr>
        <w:t>&lt;Mechanism of action&gt;</w:t>
      </w:r>
    </w:p>
    <w:p w14:paraId="07145AF0" w14:textId="77777777" w:rsidR="009F54A7" w:rsidRPr="009F54A7" w:rsidRDefault="009F54A7" w:rsidP="009F54A7">
      <w:pPr>
        <w:autoSpaceDE w:val="0"/>
        <w:autoSpaceDN w:val="0"/>
        <w:adjustRightInd w:val="0"/>
        <w:rPr>
          <w:rFonts w:ascii="Verdana" w:hAnsi="Verdana"/>
        </w:rPr>
      </w:pPr>
    </w:p>
    <w:p w14:paraId="32F16D73" w14:textId="77777777" w:rsidR="009F54A7" w:rsidRPr="009F54A7" w:rsidRDefault="009F54A7" w:rsidP="009F54A7">
      <w:pPr>
        <w:autoSpaceDE w:val="0"/>
        <w:autoSpaceDN w:val="0"/>
        <w:adjustRightInd w:val="0"/>
        <w:rPr>
          <w:rFonts w:ascii="Verdana" w:hAnsi="Verdana"/>
        </w:rPr>
      </w:pPr>
      <w:r w:rsidRPr="009F54A7">
        <w:rPr>
          <w:rFonts w:ascii="Verdana" w:hAnsi="Verdana"/>
        </w:rPr>
        <w:t>&lt;Pharmacodynamic effects&gt;</w:t>
      </w:r>
    </w:p>
    <w:p w14:paraId="73009A75" w14:textId="77777777" w:rsidR="009F54A7" w:rsidRPr="009F54A7" w:rsidRDefault="009F54A7" w:rsidP="009F54A7">
      <w:pPr>
        <w:autoSpaceDE w:val="0"/>
        <w:autoSpaceDN w:val="0"/>
        <w:adjustRightInd w:val="0"/>
        <w:rPr>
          <w:rFonts w:ascii="Verdana" w:hAnsi="Verdana"/>
        </w:rPr>
      </w:pPr>
    </w:p>
    <w:p w14:paraId="793277DB" w14:textId="77777777" w:rsidR="009F54A7" w:rsidRPr="009F54A7" w:rsidRDefault="009F54A7" w:rsidP="009F54A7">
      <w:pPr>
        <w:autoSpaceDE w:val="0"/>
        <w:autoSpaceDN w:val="0"/>
        <w:adjustRightInd w:val="0"/>
        <w:rPr>
          <w:rFonts w:ascii="Verdana" w:hAnsi="Verdana"/>
        </w:rPr>
      </w:pPr>
      <w:r w:rsidRPr="009F54A7">
        <w:rPr>
          <w:rFonts w:ascii="Verdana" w:hAnsi="Verdana"/>
        </w:rPr>
        <w:t>&lt;Clinical efficacy and safety&gt;</w:t>
      </w:r>
    </w:p>
    <w:p w14:paraId="202D086B" w14:textId="77777777" w:rsidR="009F54A7" w:rsidRPr="009F54A7" w:rsidRDefault="009F54A7" w:rsidP="009F54A7">
      <w:pPr>
        <w:rPr>
          <w:rFonts w:ascii="Verdana" w:hAnsi="Verdana"/>
          <w:bCs/>
          <w:iCs/>
        </w:rPr>
      </w:pPr>
    </w:p>
    <w:p w14:paraId="7AA8AE16" w14:textId="77777777" w:rsidR="009F54A7" w:rsidRPr="009F54A7" w:rsidRDefault="009F54A7" w:rsidP="009F54A7">
      <w:pPr>
        <w:rPr>
          <w:rFonts w:ascii="Verdana" w:hAnsi="Verdana"/>
          <w:bCs/>
          <w:iCs/>
        </w:rPr>
      </w:pPr>
      <w:r w:rsidRPr="009F54A7">
        <w:rPr>
          <w:rFonts w:ascii="Verdana" w:hAnsi="Verdana"/>
          <w:bCs/>
          <w:iCs/>
        </w:rPr>
        <w:t>&lt;</w:t>
      </w:r>
      <w:proofErr w:type="spellStart"/>
      <w:r w:rsidRPr="009F54A7">
        <w:rPr>
          <w:rFonts w:ascii="Verdana" w:hAnsi="Verdana"/>
          <w:bCs/>
          <w:iCs/>
        </w:rPr>
        <w:t>Paediatric</w:t>
      </w:r>
      <w:proofErr w:type="spellEnd"/>
      <w:r w:rsidRPr="009F54A7">
        <w:rPr>
          <w:rFonts w:ascii="Verdana" w:hAnsi="Verdana"/>
          <w:bCs/>
          <w:iCs/>
        </w:rPr>
        <w:t xml:space="preserve"> population&gt;</w:t>
      </w:r>
    </w:p>
    <w:p w14:paraId="342B6B31" w14:textId="77777777" w:rsidR="009F54A7" w:rsidRPr="009F54A7" w:rsidRDefault="009F54A7" w:rsidP="009F54A7">
      <w:pPr>
        <w:numPr>
          <w:ilvl w:val="12"/>
          <w:numId w:val="0"/>
        </w:numPr>
        <w:ind w:right="-2"/>
        <w:rPr>
          <w:rFonts w:ascii="Verdana" w:hAnsi="Verdana"/>
          <w:iCs/>
          <w:noProof/>
        </w:rPr>
      </w:pPr>
    </w:p>
    <w:p w14:paraId="00BC118B" w14:textId="77777777" w:rsidR="009F54A7" w:rsidRPr="009F54A7" w:rsidRDefault="009F54A7" w:rsidP="00232F57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5.2</w:t>
      </w:r>
      <w:r w:rsidRPr="009F54A7">
        <w:rPr>
          <w:rFonts w:ascii="Verdana" w:hAnsi="Verdana"/>
          <w:b/>
          <w:noProof/>
        </w:rPr>
        <w:tab/>
        <w:t>Pharmacokinetic properties</w:t>
      </w:r>
    </w:p>
    <w:p w14:paraId="49F9B3B3" w14:textId="77777777" w:rsidR="009F54A7" w:rsidRPr="009F54A7" w:rsidRDefault="009F54A7" w:rsidP="009F54A7">
      <w:pPr>
        <w:numPr>
          <w:ilvl w:val="12"/>
          <w:numId w:val="0"/>
        </w:numPr>
        <w:ind w:right="-2"/>
        <w:rPr>
          <w:rFonts w:ascii="Verdana" w:hAnsi="Verdana"/>
          <w:iCs/>
          <w:noProof/>
        </w:rPr>
      </w:pPr>
    </w:p>
    <w:p w14:paraId="0B6FA855" w14:textId="77777777" w:rsidR="009F54A7" w:rsidRPr="00232F57" w:rsidRDefault="009F54A7" w:rsidP="009F54A7">
      <w:pPr>
        <w:rPr>
          <w:rFonts w:ascii="Verdana" w:hAnsi="Verdana"/>
          <w:bCs/>
        </w:rPr>
      </w:pPr>
      <w:r w:rsidRPr="009F54A7">
        <w:rPr>
          <w:rFonts w:ascii="Verdana" w:hAnsi="Verdana"/>
          <w:bCs/>
          <w:i/>
          <w:iCs/>
        </w:rPr>
        <w:t>&lt;</w:t>
      </w:r>
      <w:proofErr w:type="spellStart"/>
      <w:r w:rsidRPr="002B0851">
        <w:rPr>
          <w:rFonts w:ascii="Verdana" w:hAnsi="Verdana"/>
          <w:bCs/>
        </w:rPr>
        <w:t>Paediatric</w:t>
      </w:r>
      <w:proofErr w:type="spellEnd"/>
      <w:r w:rsidRPr="002B0851">
        <w:rPr>
          <w:rFonts w:ascii="Verdana" w:hAnsi="Verdana"/>
          <w:bCs/>
        </w:rPr>
        <w:t xml:space="preserve"> population</w:t>
      </w:r>
      <w:r w:rsidRPr="009F54A7">
        <w:rPr>
          <w:rFonts w:ascii="Verdana" w:hAnsi="Verdana"/>
          <w:bCs/>
          <w:i/>
          <w:iCs/>
        </w:rPr>
        <w:t>&gt;</w:t>
      </w:r>
    </w:p>
    <w:p w14:paraId="55997CB3" w14:textId="77777777" w:rsidR="009F54A7" w:rsidRPr="009F54A7" w:rsidRDefault="009F54A7" w:rsidP="009F54A7">
      <w:pPr>
        <w:numPr>
          <w:ilvl w:val="12"/>
          <w:numId w:val="0"/>
        </w:numPr>
        <w:ind w:right="-2"/>
        <w:rPr>
          <w:rFonts w:ascii="Verdana" w:hAnsi="Verdana"/>
          <w:iCs/>
          <w:noProof/>
        </w:rPr>
      </w:pPr>
    </w:p>
    <w:p w14:paraId="7C51C53A" w14:textId="77777777" w:rsidR="009F54A7" w:rsidRPr="009F54A7" w:rsidRDefault="009F54A7" w:rsidP="00232F57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5.3</w:t>
      </w:r>
      <w:r w:rsidRPr="009F54A7">
        <w:rPr>
          <w:rFonts w:ascii="Verdana" w:hAnsi="Verdana"/>
          <w:b/>
          <w:noProof/>
        </w:rPr>
        <w:tab/>
        <w:t>Preclinical safety data</w:t>
      </w:r>
    </w:p>
    <w:p w14:paraId="680838FB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1E7ED937" w14:textId="77777777" w:rsidR="009F54A7" w:rsidRPr="009F54A7" w:rsidRDefault="009F54A7" w:rsidP="00232F5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&lt;Non-clinical data reveal no special hazard for humans based on conventional studies of safety pharmacology, repeated dose toxicity, genotoxicity, carcinogenic potential, toxicity to reproduction and development.&gt;</w:t>
      </w:r>
    </w:p>
    <w:p w14:paraId="035FD944" w14:textId="77777777" w:rsidR="009F54A7" w:rsidRPr="009F54A7" w:rsidRDefault="009F54A7" w:rsidP="00232F57">
      <w:pPr>
        <w:rPr>
          <w:rFonts w:ascii="Verdana" w:hAnsi="Verdana"/>
          <w:noProof/>
        </w:rPr>
      </w:pPr>
    </w:p>
    <w:p w14:paraId="0F1EC7B8" w14:textId="77777777" w:rsidR="009F54A7" w:rsidRPr="009F54A7" w:rsidRDefault="009F54A7" w:rsidP="00232F5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&lt;Effects in non-clinical studies were observed only at exposures considered sufficiently in excess of the maximum human exposure indicating little relevance to clinical use.&gt;</w:t>
      </w:r>
    </w:p>
    <w:p w14:paraId="2AE0924C" w14:textId="77777777" w:rsidR="009F54A7" w:rsidRPr="009F54A7" w:rsidRDefault="009F54A7" w:rsidP="00232F57">
      <w:pPr>
        <w:rPr>
          <w:rFonts w:ascii="Verdana" w:hAnsi="Verdana"/>
          <w:noProof/>
        </w:rPr>
      </w:pPr>
    </w:p>
    <w:p w14:paraId="045926C9" w14:textId="77777777" w:rsidR="009F54A7" w:rsidRPr="009F54A7" w:rsidRDefault="009F54A7" w:rsidP="00232F5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&lt;Adverse reactions not observed in clinical studies, but seen in animals at exposure levels similar to clinical exposure levels and with possible relevance to clinical use were as follows:&gt;</w:t>
      </w:r>
    </w:p>
    <w:p w14:paraId="6B3190D5" w14:textId="77777777" w:rsidR="009F54A7" w:rsidRPr="00232F57" w:rsidRDefault="009F54A7" w:rsidP="009F54A7">
      <w:pPr>
        <w:ind w:left="567" w:hanging="567"/>
        <w:jc w:val="both"/>
        <w:outlineLvl w:val="0"/>
        <w:rPr>
          <w:rFonts w:ascii="Verdana" w:hAnsi="Verdana"/>
          <w:bCs/>
          <w:noProof/>
        </w:rPr>
      </w:pPr>
    </w:p>
    <w:p w14:paraId="678E34D6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558DE084" w14:textId="77777777" w:rsidR="009F54A7" w:rsidRPr="009F54A7" w:rsidRDefault="009F54A7" w:rsidP="009F54A7">
      <w:pPr>
        <w:rPr>
          <w:rFonts w:ascii="Verdana" w:hAnsi="Verdana"/>
          <w:b/>
          <w:noProof/>
        </w:rPr>
      </w:pPr>
      <w:r w:rsidRPr="009F54A7">
        <w:rPr>
          <w:rFonts w:ascii="Verdana" w:hAnsi="Verdana"/>
          <w:b/>
          <w:noProof/>
        </w:rPr>
        <w:t>6.</w:t>
      </w:r>
      <w:r w:rsidRPr="009F54A7">
        <w:rPr>
          <w:rFonts w:ascii="Verdana" w:hAnsi="Verdana"/>
          <w:b/>
          <w:noProof/>
        </w:rPr>
        <w:tab/>
        <w:t>PHARMACEUTICAL PARTICULARS</w:t>
      </w:r>
    </w:p>
    <w:p w14:paraId="3EEAFB93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57C20527" w14:textId="77777777" w:rsidR="009F54A7" w:rsidRPr="009F54A7" w:rsidRDefault="009F54A7" w:rsidP="00232F57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6.1</w:t>
      </w:r>
      <w:r w:rsidRPr="009F54A7">
        <w:rPr>
          <w:rFonts w:ascii="Verdana" w:hAnsi="Verdana"/>
          <w:b/>
          <w:noProof/>
        </w:rPr>
        <w:tab/>
        <w:t>List of excipients</w:t>
      </w:r>
    </w:p>
    <w:p w14:paraId="494C7F56" w14:textId="77777777" w:rsidR="009F54A7" w:rsidRPr="009F54A7" w:rsidRDefault="009F54A7" w:rsidP="009F54A7">
      <w:pPr>
        <w:rPr>
          <w:rFonts w:ascii="Verdana" w:hAnsi="Verdana"/>
          <w:iCs/>
          <w:noProof/>
        </w:rPr>
      </w:pPr>
    </w:p>
    <w:p w14:paraId="16BDDBBD" w14:textId="77777777" w:rsidR="009F54A7" w:rsidRPr="009F54A7" w:rsidRDefault="009F54A7" w:rsidP="00232F57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6.2</w:t>
      </w:r>
      <w:r w:rsidRPr="009F54A7">
        <w:rPr>
          <w:rFonts w:ascii="Verdana" w:hAnsi="Verdana"/>
          <w:b/>
          <w:noProof/>
        </w:rPr>
        <w:tab/>
        <w:t>Incompatibilities</w:t>
      </w:r>
    </w:p>
    <w:p w14:paraId="0CA39ECE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7C1000B3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&lt;Not applicable.&gt;</w:t>
      </w:r>
    </w:p>
    <w:p w14:paraId="0CF7D841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1B2FE798" w14:textId="66483164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&lt;In the absence of compatibility studies, this medicin</w:t>
      </w:r>
      <w:r w:rsidR="002B0851">
        <w:rPr>
          <w:rFonts w:ascii="Verdana" w:hAnsi="Verdana"/>
          <w:noProof/>
        </w:rPr>
        <w:t>e</w:t>
      </w:r>
      <w:r w:rsidRPr="009F54A7">
        <w:rPr>
          <w:rFonts w:ascii="Verdana" w:hAnsi="Verdana"/>
          <w:noProof/>
        </w:rPr>
        <w:t xml:space="preserve"> must not be mixed with other medicin</w:t>
      </w:r>
      <w:r w:rsidR="002B0851">
        <w:rPr>
          <w:rFonts w:ascii="Verdana" w:hAnsi="Verdana"/>
          <w:noProof/>
        </w:rPr>
        <w:t>es</w:t>
      </w:r>
      <w:r w:rsidRPr="009F54A7">
        <w:rPr>
          <w:rFonts w:ascii="Verdana" w:hAnsi="Verdana"/>
          <w:noProof/>
        </w:rPr>
        <w:t>.&gt;</w:t>
      </w:r>
    </w:p>
    <w:p w14:paraId="17D46B9E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4B31451E" w14:textId="580F6A79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&lt;This medicin</w:t>
      </w:r>
      <w:r w:rsidR="002B0851">
        <w:rPr>
          <w:rFonts w:ascii="Verdana" w:hAnsi="Verdana"/>
          <w:noProof/>
        </w:rPr>
        <w:t>e</w:t>
      </w:r>
      <w:r w:rsidRPr="009F54A7">
        <w:rPr>
          <w:rFonts w:ascii="Verdana" w:hAnsi="Verdana"/>
          <w:noProof/>
        </w:rPr>
        <w:t xml:space="preserve"> must not be mixed with other medicin</w:t>
      </w:r>
      <w:r w:rsidR="002B0851">
        <w:rPr>
          <w:rFonts w:ascii="Verdana" w:hAnsi="Verdana"/>
          <w:noProof/>
        </w:rPr>
        <w:t>es</w:t>
      </w:r>
      <w:r w:rsidRPr="009F54A7">
        <w:rPr>
          <w:rFonts w:ascii="Verdana" w:hAnsi="Verdana"/>
          <w:noProof/>
        </w:rPr>
        <w:t xml:space="preserve"> except those mentioned in Section 6.6.&gt;</w:t>
      </w:r>
    </w:p>
    <w:p w14:paraId="3C357CFF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6B090818" w14:textId="77777777" w:rsidR="009F54A7" w:rsidRPr="009F54A7" w:rsidRDefault="009F54A7" w:rsidP="00232F57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6.3</w:t>
      </w:r>
      <w:r w:rsidRPr="009F54A7">
        <w:rPr>
          <w:rFonts w:ascii="Verdana" w:hAnsi="Verdana"/>
          <w:b/>
          <w:noProof/>
        </w:rPr>
        <w:tab/>
        <w:t>Shelf life</w:t>
      </w:r>
    </w:p>
    <w:p w14:paraId="5488692B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1037788E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&lt;...&gt; &lt;6 months&gt; &lt;...&gt; &lt;1 year&gt; &lt;18 months&gt; &lt;2 years&gt; &lt;30 months&gt; &lt;3 years&gt; &lt;...&gt;</w:t>
      </w:r>
    </w:p>
    <w:p w14:paraId="3B21A3B7" w14:textId="77777777" w:rsidR="009F54A7" w:rsidRPr="00232F57" w:rsidRDefault="009F54A7" w:rsidP="009F54A7">
      <w:pPr>
        <w:ind w:left="567" w:hanging="567"/>
        <w:outlineLvl w:val="0"/>
        <w:rPr>
          <w:rFonts w:ascii="Verdana" w:hAnsi="Verdana"/>
          <w:bCs/>
          <w:noProof/>
        </w:rPr>
      </w:pPr>
    </w:p>
    <w:p w14:paraId="149273CE" w14:textId="77777777" w:rsidR="009F54A7" w:rsidRPr="009F54A7" w:rsidRDefault="009F54A7" w:rsidP="00232F57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6.4</w:t>
      </w:r>
      <w:r w:rsidRPr="009F54A7">
        <w:rPr>
          <w:rFonts w:ascii="Verdana" w:hAnsi="Verdana"/>
          <w:b/>
          <w:noProof/>
        </w:rPr>
        <w:tab/>
        <w:t>Special precautions for storage</w:t>
      </w:r>
    </w:p>
    <w:p w14:paraId="2EABF474" w14:textId="77777777" w:rsidR="009F54A7" w:rsidRPr="00232F57" w:rsidRDefault="009F54A7" w:rsidP="009F54A7">
      <w:pPr>
        <w:rPr>
          <w:rFonts w:ascii="Verdana" w:hAnsi="Verdana"/>
          <w:iCs/>
          <w:w w:val="105"/>
        </w:rPr>
      </w:pPr>
    </w:p>
    <w:p w14:paraId="15CDC4C9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&lt;For storage conditions of the &lt;reconstituted&gt; &lt;diluted&gt; medicinal product, see Section 6.3.&gt;</w:t>
      </w:r>
    </w:p>
    <w:p w14:paraId="120300CE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184291A4" w14:textId="77777777" w:rsidR="009F54A7" w:rsidRPr="009F54A7" w:rsidRDefault="009F54A7" w:rsidP="00232F57">
      <w:pPr>
        <w:widowControl/>
        <w:numPr>
          <w:ilvl w:val="1"/>
          <w:numId w:val="4"/>
        </w:numPr>
        <w:tabs>
          <w:tab w:val="clear" w:pos="570"/>
        </w:tabs>
        <w:ind w:left="720" w:hanging="720"/>
        <w:outlineLvl w:val="0"/>
        <w:rPr>
          <w:rFonts w:ascii="Verdana" w:hAnsi="Verdana"/>
          <w:b/>
          <w:noProof/>
        </w:rPr>
      </w:pPr>
      <w:r w:rsidRPr="009F54A7">
        <w:rPr>
          <w:rFonts w:ascii="Verdana" w:hAnsi="Verdana"/>
          <w:b/>
          <w:noProof/>
        </w:rPr>
        <w:t>Nature and contents of container &lt;and special equipment for use, administration or implantation&gt;</w:t>
      </w:r>
    </w:p>
    <w:p w14:paraId="0C09C557" w14:textId="77777777" w:rsidR="009F54A7" w:rsidRPr="009F54A7" w:rsidRDefault="009F54A7" w:rsidP="009F54A7">
      <w:pPr>
        <w:rPr>
          <w:rFonts w:ascii="Verdana" w:hAnsi="Verdana"/>
          <w:iCs/>
          <w:noProof/>
        </w:rPr>
      </w:pPr>
    </w:p>
    <w:p w14:paraId="6DE45FB0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&lt;Not all pack sizes may be marketed.&gt;</w:t>
      </w:r>
    </w:p>
    <w:p w14:paraId="6D37CEE8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110990BF" w14:textId="77777777" w:rsidR="009F54A7" w:rsidRPr="009F54A7" w:rsidRDefault="009F54A7" w:rsidP="00232F57">
      <w:pPr>
        <w:ind w:left="720" w:hanging="720"/>
        <w:outlineLvl w:val="0"/>
        <w:rPr>
          <w:rFonts w:ascii="Verdana" w:hAnsi="Verdana"/>
          <w:noProof/>
        </w:rPr>
      </w:pPr>
      <w:r w:rsidRPr="009F54A7">
        <w:rPr>
          <w:rFonts w:ascii="Verdana" w:hAnsi="Verdana"/>
          <w:b/>
          <w:noProof/>
        </w:rPr>
        <w:t>6.6</w:t>
      </w:r>
      <w:r w:rsidRPr="009F54A7">
        <w:rPr>
          <w:rFonts w:ascii="Verdana" w:hAnsi="Verdana"/>
          <w:b/>
          <w:noProof/>
        </w:rPr>
        <w:tab/>
        <w:t>Special precautions for disposal &lt;and other handling&gt;</w:t>
      </w:r>
    </w:p>
    <w:p w14:paraId="3702A99B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7C317E50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&lt;No special requirements.&gt;</w:t>
      </w:r>
    </w:p>
    <w:p w14:paraId="11C7CF8E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3972443E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&lt;Any unused product or waste material should be disposed of in accordance with local requirements.&gt;</w:t>
      </w:r>
    </w:p>
    <w:p w14:paraId="6FB0C734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6BD6F712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6B103EED" w14:textId="12B1CFDC" w:rsidR="009F54A7" w:rsidRPr="00250F4B" w:rsidRDefault="009F54A7" w:rsidP="006C2990">
      <w:pPr>
        <w:ind w:left="720" w:hanging="720"/>
        <w:rPr>
          <w:rFonts w:ascii="Verdana" w:hAnsi="Verdana"/>
          <w:b/>
          <w:noProof/>
        </w:rPr>
      </w:pPr>
      <w:r w:rsidRPr="00250F4B">
        <w:rPr>
          <w:rFonts w:ascii="Verdana" w:hAnsi="Verdana"/>
          <w:b/>
          <w:noProof/>
        </w:rPr>
        <w:t>7.</w:t>
      </w:r>
      <w:r w:rsidRPr="00250F4B">
        <w:rPr>
          <w:rFonts w:ascii="Verdana" w:hAnsi="Verdana"/>
          <w:b/>
          <w:noProof/>
        </w:rPr>
        <w:tab/>
      </w:r>
      <w:r w:rsidR="008162CA" w:rsidRPr="00250F4B">
        <w:rPr>
          <w:rFonts w:ascii="Verdana" w:hAnsi="Verdana"/>
          <w:b/>
          <w:caps/>
          <w:noProof/>
        </w:rPr>
        <w:t>Marketing Authorisation Holder</w:t>
      </w:r>
    </w:p>
    <w:p w14:paraId="694AFFE2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7D476F9E" w14:textId="77777777" w:rsidR="009F54A7" w:rsidRPr="009F54A7" w:rsidRDefault="009F54A7" w:rsidP="009F54A7">
      <w:pPr>
        <w:rPr>
          <w:rFonts w:ascii="Verdana" w:hAnsi="Verdana"/>
          <w:b/>
          <w:noProof/>
        </w:rPr>
      </w:pPr>
      <w:r w:rsidRPr="009F54A7">
        <w:rPr>
          <w:rFonts w:ascii="Verdana" w:hAnsi="Verdana"/>
          <w:noProof/>
        </w:rPr>
        <w:t>{Name and address}</w:t>
      </w:r>
    </w:p>
    <w:p w14:paraId="3891FD88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&lt;{tel}&gt;</w:t>
      </w:r>
    </w:p>
    <w:p w14:paraId="53B80B12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&lt;{fax}&gt;</w:t>
      </w:r>
    </w:p>
    <w:p w14:paraId="568D8203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&lt;{email}&gt;</w:t>
      </w:r>
    </w:p>
    <w:p w14:paraId="0DC18A14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54DAE4B3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6C849325" w14:textId="5DD7ECF0" w:rsidR="009F54A7" w:rsidRPr="008162CA" w:rsidRDefault="009F54A7" w:rsidP="006C2990">
      <w:pPr>
        <w:ind w:left="720" w:hanging="720"/>
        <w:rPr>
          <w:rFonts w:ascii="Verdana" w:hAnsi="Verdana"/>
          <w:b/>
          <w:noProof/>
        </w:rPr>
      </w:pPr>
      <w:r w:rsidRPr="008162CA">
        <w:rPr>
          <w:rFonts w:ascii="Verdana" w:hAnsi="Verdana"/>
          <w:b/>
          <w:noProof/>
        </w:rPr>
        <w:t>8.</w:t>
      </w:r>
      <w:r w:rsidRPr="008162CA">
        <w:rPr>
          <w:rFonts w:ascii="Verdana" w:hAnsi="Verdana"/>
          <w:b/>
          <w:noProof/>
        </w:rPr>
        <w:tab/>
      </w:r>
      <w:r w:rsidR="008162CA" w:rsidRPr="008162CA">
        <w:rPr>
          <w:rFonts w:ascii="Verdana" w:hAnsi="Verdana"/>
          <w:b/>
          <w:noProof/>
        </w:rPr>
        <w:t>MARKETING AUTHORISATION NUMBER(S)</w:t>
      </w:r>
    </w:p>
    <w:p w14:paraId="3D2D6127" w14:textId="34D405F0" w:rsidR="009F54A7" w:rsidRDefault="009F54A7" w:rsidP="009F54A7">
      <w:pPr>
        <w:ind w:left="567" w:hanging="567"/>
        <w:rPr>
          <w:rFonts w:ascii="Verdana" w:hAnsi="Verdana"/>
          <w:bCs/>
          <w:noProof/>
        </w:rPr>
      </w:pPr>
    </w:p>
    <w:p w14:paraId="44F4936A" w14:textId="77777777" w:rsidR="006C2990" w:rsidRPr="00232F57" w:rsidRDefault="006C2990" w:rsidP="009F54A7">
      <w:pPr>
        <w:ind w:left="567" w:hanging="567"/>
        <w:rPr>
          <w:rFonts w:ascii="Verdana" w:hAnsi="Verdana"/>
          <w:bCs/>
          <w:noProof/>
        </w:rPr>
      </w:pPr>
    </w:p>
    <w:p w14:paraId="4D210936" w14:textId="77777777" w:rsidR="006C2990" w:rsidRPr="006C2990" w:rsidRDefault="009F54A7" w:rsidP="006C2990">
      <w:pPr>
        <w:ind w:left="720" w:hanging="720"/>
        <w:rPr>
          <w:rFonts w:ascii="Verdana" w:hAnsi="Verdana"/>
          <w:noProof/>
        </w:rPr>
      </w:pPr>
      <w:r w:rsidRPr="006C2990">
        <w:rPr>
          <w:rFonts w:ascii="Verdana" w:hAnsi="Verdana"/>
          <w:b/>
          <w:noProof/>
        </w:rPr>
        <w:t>9.</w:t>
      </w:r>
      <w:r w:rsidRPr="006C2990">
        <w:rPr>
          <w:rFonts w:ascii="Verdana" w:hAnsi="Verdana"/>
          <w:b/>
          <w:noProof/>
        </w:rPr>
        <w:tab/>
      </w:r>
      <w:r w:rsidR="006C2990" w:rsidRPr="006C2990">
        <w:rPr>
          <w:rFonts w:ascii="Verdana" w:hAnsi="Verdana"/>
          <w:b/>
          <w:noProof/>
        </w:rPr>
        <w:t>DATE OF FIRST AUTHORISATION/RENEWAL OF THE AUTHORISATION</w:t>
      </w:r>
    </w:p>
    <w:p w14:paraId="076B47D8" w14:textId="77777777" w:rsidR="006C2990" w:rsidRPr="006C2990" w:rsidRDefault="006C2990" w:rsidP="006C2990">
      <w:pPr>
        <w:rPr>
          <w:rFonts w:ascii="Verdana" w:hAnsi="Verdana"/>
          <w:iCs/>
          <w:noProof/>
        </w:rPr>
      </w:pPr>
    </w:p>
    <w:p w14:paraId="39AFDA2C" w14:textId="77777777" w:rsidR="006C2990" w:rsidRPr="002B0851" w:rsidRDefault="006C2990" w:rsidP="006C2990">
      <w:pPr>
        <w:rPr>
          <w:rFonts w:ascii="Verdana" w:hAnsi="Verdana"/>
          <w:iCs/>
          <w:noProof/>
        </w:rPr>
      </w:pPr>
      <w:r w:rsidRPr="006C2990">
        <w:rPr>
          <w:rFonts w:ascii="Verdana" w:hAnsi="Verdana"/>
          <w:noProof/>
        </w:rPr>
        <w:t>&lt;Date of first authorisation: {DD month YYYY}&gt;</w:t>
      </w:r>
    </w:p>
    <w:p w14:paraId="2A51A65F" w14:textId="77777777" w:rsidR="006C2990" w:rsidRPr="006C2990" w:rsidRDefault="006C2990" w:rsidP="006C2990">
      <w:pPr>
        <w:rPr>
          <w:rFonts w:ascii="Verdana" w:hAnsi="Verdana"/>
          <w:noProof/>
        </w:rPr>
      </w:pPr>
      <w:r w:rsidRPr="006C2990">
        <w:rPr>
          <w:rFonts w:ascii="Verdana" w:hAnsi="Verdana"/>
          <w:noProof/>
        </w:rPr>
        <w:t>&lt;Date of latest renewal: {DD month YYYY}&gt;</w:t>
      </w:r>
    </w:p>
    <w:p w14:paraId="196862EE" w14:textId="77777777" w:rsidR="006C2990" w:rsidRPr="006C2990" w:rsidRDefault="006C2990" w:rsidP="006C2990">
      <w:pPr>
        <w:rPr>
          <w:rFonts w:ascii="Verdana" w:hAnsi="Verdana"/>
          <w:noProof/>
        </w:rPr>
      </w:pPr>
    </w:p>
    <w:p w14:paraId="653F55C2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49C9EBBC" w14:textId="77777777" w:rsidR="009F54A7" w:rsidRPr="009F54A7" w:rsidRDefault="009F54A7" w:rsidP="006C2990">
      <w:pPr>
        <w:ind w:left="720" w:hanging="720"/>
        <w:rPr>
          <w:rFonts w:ascii="Verdana" w:hAnsi="Verdana"/>
          <w:b/>
          <w:noProof/>
        </w:rPr>
      </w:pPr>
      <w:r w:rsidRPr="009F54A7">
        <w:rPr>
          <w:rFonts w:ascii="Verdana" w:hAnsi="Verdana"/>
          <w:b/>
          <w:noProof/>
        </w:rPr>
        <w:t>10.</w:t>
      </w:r>
      <w:r w:rsidRPr="009F54A7">
        <w:rPr>
          <w:rFonts w:ascii="Verdana" w:hAnsi="Verdana"/>
          <w:b/>
          <w:noProof/>
        </w:rPr>
        <w:tab/>
        <w:t>DATE OF REVISION OF THE TEXT</w:t>
      </w:r>
    </w:p>
    <w:p w14:paraId="62657997" w14:textId="77777777" w:rsidR="009F54A7" w:rsidRPr="009F54A7" w:rsidRDefault="009F54A7" w:rsidP="009F54A7">
      <w:pPr>
        <w:rPr>
          <w:rFonts w:ascii="Verdana" w:hAnsi="Verdana"/>
          <w:noProof/>
        </w:rPr>
      </w:pPr>
    </w:p>
    <w:p w14:paraId="69F67E14" w14:textId="77777777" w:rsidR="009F54A7" w:rsidRPr="009F54A7" w:rsidRDefault="009F54A7" w:rsidP="009F54A7">
      <w:pPr>
        <w:rPr>
          <w:rFonts w:ascii="Verdana" w:hAnsi="Verdana"/>
          <w:noProof/>
        </w:rPr>
      </w:pPr>
      <w:r w:rsidRPr="009F54A7">
        <w:rPr>
          <w:rFonts w:ascii="Verdana" w:hAnsi="Verdana"/>
          <w:noProof/>
        </w:rPr>
        <w:t>{MM/YYYY}</w:t>
      </w:r>
    </w:p>
    <w:p w14:paraId="304FB882" w14:textId="77777777" w:rsidR="009F54A7" w:rsidRPr="006C2990" w:rsidRDefault="009F54A7" w:rsidP="009F54A7">
      <w:pPr>
        <w:rPr>
          <w:rFonts w:ascii="Verdana" w:hAnsi="Verdana"/>
          <w:noProof/>
          <w:color w:val="000000"/>
        </w:rPr>
      </w:pPr>
    </w:p>
    <w:p w14:paraId="1FBCF0BE" w14:textId="77777777" w:rsidR="006C2990" w:rsidRPr="006C2990" w:rsidRDefault="006C2990" w:rsidP="006C2990">
      <w:pPr>
        <w:ind w:left="567" w:hanging="567"/>
        <w:rPr>
          <w:rFonts w:ascii="Verdana" w:hAnsi="Verdana"/>
          <w:b/>
          <w:noProof/>
        </w:rPr>
      </w:pPr>
      <w:r w:rsidRPr="006C2990">
        <w:rPr>
          <w:rFonts w:ascii="Verdana" w:hAnsi="Verdana"/>
          <w:b/>
          <w:noProof/>
        </w:rPr>
        <w:t>&lt;11.</w:t>
      </w:r>
      <w:r w:rsidRPr="006C2990">
        <w:rPr>
          <w:rFonts w:ascii="Verdana" w:hAnsi="Verdana"/>
          <w:b/>
          <w:noProof/>
        </w:rPr>
        <w:tab/>
        <w:t>DOSIMETRY&gt;</w:t>
      </w:r>
    </w:p>
    <w:p w14:paraId="0DA6F1DE" w14:textId="77777777" w:rsidR="006C2990" w:rsidRPr="006C2990" w:rsidRDefault="006C2990" w:rsidP="006C2990">
      <w:pPr>
        <w:rPr>
          <w:rFonts w:ascii="Verdana" w:hAnsi="Verdana"/>
          <w:noProof/>
        </w:rPr>
      </w:pPr>
    </w:p>
    <w:p w14:paraId="58997A2F" w14:textId="77777777" w:rsidR="006C2990" w:rsidRPr="006C2990" w:rsidRDefault="006C2990" w:rsidP="006C2990">
      <w:pPr>
        <w:ind w:left="567" w:hanging="567"/>
        <w:rPr>
          <w:rFonts w:ascii="Verdana" w:hAnsi="Verdana"/>
          <w:b/>
          <w:noProof/>
        </w:rPr>
      </w:pPr>
      <w:r w:rsidRPr="006C2990">
        <w:rPr>
          <w:rFonts w:ascii="Verdana" w:hAnsi="Verdana"/>
          <w:b/>
          <w:noProof/>
        </w:rPr>
        <w:t>&lt;12.</w:t>
      </w:r>
      <w:r w:rsidRPr="006C2990">
        <w:rPr>
          <w:rFonts w:ascii="Verdana" w:hAnsi="Verdana"/>
          <w:b/>
          <w:noProof/>
        </w:rPr>
        <w:tab/>
        <w:t>INSTRUCTIONS FOR PREPARATION OF RADIOPHARMACEUTICALS&gt;</w:t>
      </w:r>
    </w:p>
    <w:p w14:paraId="12F1412E" w14:textId="77777777" w:rsidR="006C2990" w:rsidRPr="00631221" w:rsidRDefault="006C2990" w:rsidP="006C2990">
      <w:pPr>
        <w:rPr>
          <w:rFonts w:ascii="Verdana" w:hAnsi="Verdana"/>
          <w:bCs/>
          <w:noProof/>
        </w:rPr>
      </w:pPr>
    </w:p>
    <w:p w14:paraId="6562CB38" w14:textId="6DE9F7F2" w:rsidR="00477EB0" w:rsidRPr="00324EB8" w:rsidRDefault="006C2990" w:rsidP="00EE0487">
      <w:pPr>
        <w:numPr>
          <w:ilvl w:val="12"/>
          <w:numId w:val="0"/>
        </w:numPr>
        <w:ind w:right="-2"/>
        <w:rPr>
          <w:rFonts w:ascii="Verdana" w:eastAsia="Arial" w:hAnsi="Verdana" w:cs="Arial"/>
          <w:iCs/>
        </w:rPr>
      </w:pPr>
      <w:r w:rsidRPr="006C2990">
        <w:rPr>
          <w:rFonts w:ascii="Verdana" w:hAnsi="Verdana"/>
          <w:noProof/>
        </w:rPr>
        <w:t>&lt;Any unused medicin</w:t>
      </w:r>
      <w:r>
        <w:rPr>
          <w:rFonts w:ascii="Verdana" w:hAnsi="Verdana"/>
          <w:noProof/>
        </w:rPr>
        <w:t>es</w:t>
      </w:r>
      <w:r w:rsidRPr="006C2990">
        <w:rPr>
          <w:rFonts w:ascii="Verdana" w:hAnsi="Verdana"/>
          <w:noProof/>
        </w:rPr>
        <w:t xml:space="preserve"> or waste material should be disposed of in accordance with local requirements.&gt;</w:t>
      </w:r>
    </w:p>
    <w:sectPr w:rsidR="00477EB0" w:rsidRPr="00324EB8" w:rsidSect="00120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960" w:right="1500" w:bottom="920" w:left="130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60F03" w14:textId="77777777" w:rsidR="003C0216" w:rsidRDefault="003C0216">
      <w:r>
        <w:separator/>
      </w:r>
    </w:p>
  </w:endnote>
  <w:endnote w:type="continuationSeparator" w:id="0">
    <w:p w14:paraId="2809712F" w14:textId="77777777" w:rsidR="003C0216" w:rsidRDefault="003C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5A2C3" w14:textId="77777777" w:rsidR="00330ED4" w:rsidRDefault="00330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A12B" w14:textId="61DD2F4E" w:rsidR="00477EB0" w:rsidRDefault="00120B55">
    <w:pPr>
      <w:spacing w:line="14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br/>
    </w:r>
  </w:p>
  <w:p w14:paraId="544B4B0E" w14:textId="005D345A" w:rsidR="00120B55" w:rsidRDefault="00120B55" w:rsidP="00120B55">
    <w:pPr>
      <w:rPr>
        <w:rFonts w:ascii="Verdana" w:hAnsi="Verdana"/>
        <w:sz w:val="20"/>
        <w:szCs w:val="20"/>
      </w:rPr>
    </w:pPr>
  </w:p>
  <w:tbl>
    <w:tblPr>
      <w:tblW w:w="504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374"/>
      <w:gridCol w:w="1818"/>
    </w:tblGrid>
    <w:tr w:rsidR="00687CFD" w:rsidRPr="00D11EF5" w14:paraId="7A715EE7" w14:textId="77777777" w:rsidTr="00687CFD"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</w:tcPr>
        <w:p w14:paraId="5D720687" w14:textId="77777777" w:rsidR="00687CFD" w:rsidRPr="00D11EF5" w:rsidRDefault="00687CFD" w:rsidP="00687CFD">
          <w:pPr>
            <w:pStyle w:val="FooterAgency"/>
            <w:rPr>
              <w:sz w:val="20"/>
              <w:szCs w:val="20"/>
            </w:rPr>
          </w:pPr>
        </w:p>
      </w:tc>
    </w:tr>
    <w:tr w:rsidR="00687CFD" w:rsidRPr="00D11EF5" w14:paraId="406745D9" w14:textId="77777777" w:rsidTr="00687CFD">
      <w:trPr>
        <w:hidden/>
      </w:trPr>
      <w:tc>
        <w:tcPr>
          <w:tcW w:w="4011" w:type="pct"/>
          <w:shd w:val="clear" w:color="auto" w:fill="auto"/>
          <w:tcMar>
            <w:left w:w="0" w:type="dxa"/>
            <w:right w:w="0" w:type="dxa"/>
          </w:tcMar>
        </w:tcPr>
        <w:p w14:paraId="6A52B967" w14:textId="550C3AC9" w:rsidR="00687CFD" w:rsidRPr="00D11EF5" w:rsidRDefault="00687CFD" w:rsidP="00687CFD">
          <w:pPr>
            <w:pStyle w:val="FooterAgency"/>
            <w:rPr>
              <w:rFonts w:ascii="Verdana" w:hAnsi="Verdana"/>
              <w:vanish/>
              <w:color w:val="auto"/>
              <w:sz w:val="20"/>
              <w:szCs w:val="20"/>
              <w:lang w:val="en-US"/>
            </w:rPr>
          </w:pPr>
          <w:r w:rsidRPr="00D11EF5">
            <w:rPr>
              <w:rFonts w:ascii="Verdana" w:hAnsi="Verdana"/>
              <w:vanish/>
              <w:color w:val="auto"/>
              <w:sz w:val="20"/>
              <w:szCs w:val="20"/>
            </w:rPr>
            <w:t>MCA-</w:t>
          </w:r>
          <w:r w:rsidR="00D11EF5" w:rsidRPr="00D11EF5">
            <w:rPr>
              <w:rFonts w:ascii="Verdana" w:hAnsi="Verdana"/>
              <w:vanish/>
              <w:color w:val="auto"/>
              <w:sz w:val="20"/>
              <w:szCs w:val="20"/>
            </w:rPr>
            <w:t>T</w:t>
          </w:r>
          <w:r w:rsidRPr="00D11EF5">
            <w:rPr>
              <w:rFonts w:ascii="Verdana" w:hAnsi="Verdana"/>
              <w:vanish/>
              <w:color w:val="auto"/>
              <w:sz w:val="20"/>
              <w:szCs w:val="20"/>
            </w:rPr>
            <w:t>-101</w:t>
          </w:r>
          <w:r w:rsidR="00D11EF5" w:rsidRPr="00D11EF5">
            <w:rPr>
              <w:rFonts w:ascii="Verdana" w:hAnsi="Verdana"/>
              <w:vanish/>
              <w:color w:val="auto"/>
              <w:sz w:val="20"/>
              <w:szCs w:val="20"/>
            </w:rPr>
            <w:t>/0</w:t>
          </w:r>
          <w:r w:rsidR="00330ED4">
            <w:rPr>
              <w:rFonts w:ascii="Verdana" w:hAnsi="Verdana"/>
              <w:vanish/>
              <w:color w:val="auto"/>
              <w:sz w:val="20"/>
              <w:szCs w:val="20"/>
            </w:rPr>
            <w:t>2</w:t>
          </w:r>
          <w:r w:rsidR="00D11EF5" w:rsidRPr="00D11EF5">
            <w:rPr>
              <w:rFonts w:ascii="Verdana" w:hAnsi="Verdana"/>
              <w:vanish/>
              <w:color w:val="auto"/>
              <w:sz w:val="20"/>
              <w:szCs w:val="20"/>
            </w:rPr>
            <w:t>,</w:t>
          </w:r>
          <w:r w:rsidRPr="00D11EF5">
            <w:rPr>
              <w:rFonts w:ascii="Verdana" w:hAnsi="Verdana"/>
              <w:vanish/>
              <w:color w:val="auto"/>
              <w:sz w:val="20"/>
              <w:szCs w:val="20"/>
            </w:rPr>
            <w:t xml:space="preserve"> Version 1 </w:t>
          </w:r>
          <w:r w:rsidR="00DC51FF">
            <w:rPr>
              <w:rFonts w:ascii="Verdana" w:hAnsi="Verdana"/>
              <w:vanish/>
              <w:color w:val="auto"/>
              <w:sz w:val="20"/>
              <w:szCs w:val="20"/>
            </w:rPr>
            <w:t>–</w:t>
          </w:r>
          <w:r w:rsidR="00D11EF5" w:rsidRPr="00D11EF5">
            <w:rPr>
              <w:rFonts w:ascii="Verdana" w:hAnsi="Verdana"/>
              <w:vanish/>
              <w:color w:val="auto"/>
              <w:sz w:val="20"/>
              <w:szCs w:val="20"/>
            </w:rPr>
            <w:t xml:space="preserve"> </w:t>
          </w:r>
          <w:r w:rsidR="00DC51FF">
            <w:rPr>
              <w:rFonts w:ascii="Verdana" w:hAnsi="Verdana"/>
              <w:vanish/>
              <w:color w:val="auto"/>
              <w:sz w:val="20"/>
              <w:szCs w:val="20"/>
            </w:rPr>
            <w:t>25 June 2025</w:t>
          </w:r>
        </w:p>
      </w:tc>
      <w:tc>
        <w:tcPr>
          <w:tcW w:w="989" w:type="pct"/>
          <w:shd w:val="clear" w:color="auto" w:fill="auto"/>
          <w:tcMar>
            <w:left w:w="0" w:type="dxa"/>
            <w:right w:w="0" w:type="dxa"/>
          </w:tcMar>
        </w:tcPr>
        <w:p w14:paraId="029F9D6E" w14:textId="77777777" w:rsidR="00687CFD" w:rsidRPr="00D11EF5" w:rsidRDefault="00687CFD" w:rsidP="00687CFD">
          <w:pPr>
            <w:pStyle w:val="FooterAgency"/>
            <w:jc w:val="right"/>
            <w:rPr>
              <w:rFonts w:ascii="Verdana" w:hAnsi="Verdana"/>
              <w:color w:val="auto"/>
              <w:sz w:val="20"/>
              <w:szCs w:val="20"/>
              <w:lang w:val="en-US"/>
            </w:rPr>
          </w:pPr>
          <w:r w:rsidRPr="00D11EF5">
            <w:rPr>
              <w:rStyle w:val="PageNumberAgency"/>
              <w:rFonts w:cs="Arial"/>
              <w:color w:val="auto"/>
              <w:sz w:val="20"/>
              <w:szCs w:val="20"/>
            </w:rPr>
            <w:t xml:space="preserve">Page </w:t>
          </w:r>
          <w:r w:rsidRPr="00D11EF5">
            <w:rPr>
              <w:rStyle w:val="PageNumberAgency"/>
              <w:rFonts w:cs="Arial"/>
              <w:color w:val="auto"/>
              <w:sz w:val="20"/>
              <w:szCs w:val="20"/>
            </w:rPr>
            <w:fldChar w:fldCharType="begin"/>
          </w:r>
          <w:r w:rsidRPr="00D11EF5">
            <w:rPr>
              <w:rStyle w:val="PageNumberAgency"/>
              <w:rFonts w:cs="Arial"/>
              <w:color w:val="auto"/>
              <w:sz w:val="20"/>
              <w:szCs w:val="20"/>
            </w:rPr>
            <w:instrText xml:space="preserve"> PAGE </w:instrText>
          </w:r>
          <w:r w:rsidRPr="00D11EF5">
            <w:rPr>
              <w:rStyle w:val="PageNumberAgency"/>
              <w:rFonts w:cs="Arial"/>
              <w:color w:val="auto"/>
              <w:sz w:val="20"/>
              <w:szCs w:val="20"/>
            </w:rPr>
            <w:fldChar w:fldCharType="separate"/>
          </w:r>
          <w:r w:rsidRPr="00D11EF5">
            <w:rPr>
              <w:rStyle w:val="PageNumberAgency"/>
              <w:rFonts w:cs="Arial"/>
              <w:noProof/>
              <w:color w:val="auto"/>
              <w:sz w:val="20"/>
              <w:szCs w:val="20"/>
            </w:rPr>
            <w:t>1</w:t>
          </w:r>
          <w:r w:rsidRPr="00D11EF5">
            <w:rPr>
              <w:rStyle w:val="PageNumberAgency"/>
              <w:rFonts w:cs="Arial"/>
              <w:color w:val="auto"/>
              <w:sz w:val="20"/>
              <w:szCs w:val="20"/>
            </w:rPr>
            <w:fldChar w:fldCharType="end"/>
          </w:r>
          <w:r w:rsidRPr="00D11EF5">
            <w:rPr>
              <w:rStyle w:val="PageNumberAgency"/>
              <w:rFonts w:cs="Arial"/>
              <w:color w:val="auto"/>
              <w:sz w:val="20"/>
              <w:szCs w:val="20"/>
            </w:rPr>
            <w:t>/</w:t>
          </w:r>
          <w:r w:rsidRPr="00D11EF5">
            <w:rPr>
              <w:rStyle w:val="PageNumberAgency"/>
              <w:rFonts w:cs="Arial"/>
              <w:color w:val="auto"/>
              <w:sz w:val="20"/>
              <w:szCs w:val="20"/>
            </w:rPr>
            <w:fldChar w:fldCharType="begin"/>
          </w:r>
          <w:r w:rsidRPr="00D11EF5">
            <w:rPr>
              <w:rStyle w:val="PageNumberAgency"/>
              <w:rFonts w:cs="Arial"/>
              <w:color w:val="auto"/>
              <w:sz w:val="20"/>
              <w:szCs w:val="20"/>
            </w:rPr>
            <w:instrText xml:space="preserve"> NUMPAGES </w:instrText>
          </w:r>
          <w:r w:rsidRPr="00D11EF5">
            <w:rPr>
              <w:rStyle w:val="PageNumberAgency"/>
              <w:rFonts w:cs="Arial"/>
              <w:color w:val="auto"/>
              <w:sz w:val="20"/>
              <w:szCs w:val="20"/>
            </w:rPr>
            <w:fldChar w:fldCharType="separate"/>
          </w:r>
          <w:r w:rsidRPr="00D11EF5">
            <w:rPr>
              <w:rStyle w:val="PageNumberAgency"/>
              <w:rFonts w:cs="Arial"/>
              <w:noProof/>
              <w:color w:val="auto"/>
              <w:sz w:val="20"/>
              <w:szCs w:val="20"/>
            </w:rPr>
            <w:t>3</w:t>
          </w:r>
          <w:r w:rsidRPr="00D11EF5">
            <w:rPr>
              <w:rStyle w:val="PageNumberAgency"/>
              <w:rFonts w:cs="Arial"/>
              <w:color w:val="auto"/>
              <w:sz w:val="20"/>
              <w:szCs w:val="20"/>
            </w:rPr>
            <w:fldChar w:fldCharType="end"/>
          </w:r>
        </w:p>
      </w:tc>
    </w:tr>
  </w:tbl>
  <w:p w14:paraId="12AE0FD4" w14:textId="77777777" w:rsidR="00687CFD" w:rsidRPr="00D11EF5" w:rsidRDefault="00687CFD" w:rsidP="00120B55">
    <w:pPr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25C5" w14:textId="77777777" w:rsidR="00330ED4" w:rsidRDefault="00330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CE1B1" w14:textId="77777777" w:rsidR="003C0216" w:rsidRDefault="003C0216">
      <w:r>
        <w:separator/>
      </w:r>
    </w:p>
  </w:footnote>
  <w:footnote w:type="continuationSeparator" w:id="0">
    <w:p w14:paraId="38F49364" w14:textId="77777777" w:rsidR="003C0216" w:rsidRDefault="003C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B4D6" w14:textId="77777777" w:rsidR="00330ED4" w:rsidRDefault="00330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33D9" w14:textId="77777777" w:rsidR="00330ED4" w:rsidRDefault="00330E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D0FCF" w14:textId="77777777" w:rsidR="00330ED4" w:rsidRDefault="00330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864655D"/>
    <w:multiLevelType w:val="hybridMultilevel"/>
    <w:tmpl w:val="D264ED76"/>
    <w:lvl w:ilvl="0" w:tplc="4B986F70">
      <w:start w:val="1"/>
      <w:numFmt w:val="decimal"/>
      <w:lvlText w:val="%1."/>
      <w:lvlJc w:val="left"/>
      <w:pPr>
        <w:ind w:left="104" w:hanging="572"/>
      </w:pPr>
      <w:rPr>
        <w:rFonts w:ascii="Verdana" w:eastAsia="Arial" w:hAnsi="Verdana" w:hint="default"/>
        <w:b/>
        <w:bCs/>
        <w:spacing w:val="-1"/>
        <w:w w:val="99"/>
        <w:sz w:val="22"/>
        <w:szCs w:val="22"/>
      </w:rPr>
    </w:lvl>
    <w:lvl w:ilvl="1" w:tplc="F1AE44DE">
      <w:start w:val="1"/>
      <w:numFmt w:val="bullet"/>
      <w:lvlText w:val="•"/>
      <w:lvlJc w:val="left"/>
      <w:pPr>
        <w:ind w:left="1018" w:hanging="572"/>
      </w:pPr>
      <w:rPr>
        <w:rFonts w:hint="default"/>
      </w:rPr>
    </w:lvl>
    <w:lvl w:ilvl="2" w:tplc="8750AC50">
      <w:start w:val="1"/>
      <w:numFmt w:val="bullet"/>
      <w:lvlText w:val="•"/>
      <w:lvlJc w:val="left"/>
      <w:pPr>
        <w:ind w:left="1932" w:hanging="572"/>
      </w:pPr>
      <w:rPr>
        <w:rFonts w:hint="default"/>
      </w:rPr>
    </w:lvl>
    <w:lvl w:ilvl="3" w:tplc="E8DAA680">
      <w:start w:val="1"/>
      <w:numFmt w:val="bullet"/>
      <w:lvlText w:val="•"/>
      <w:lvlJc w:val="left"/>
      <w:pPr>
        <w:ind w:left="2847" w:hanging="572"/>
      </w:pPr>
      <w:rPr>
        <w:rFonts w:hint="default"/>
      </w:rPr>
    </w:lvl>
    <w:lvl w:ilvl="4" w:tplc="1618EF3E">
      <w:start w:val="1"/>
      <w:numFmt w:val="bullet"/>
      <w:lvlText w:val="•"/>
      <w:lvlJc w:val="left"/>
      <w:pPr>
        <w:ind w:left="3761" w:hanging="572"/>
      </w:pPr>
      <w:rPr>
        <w:rFonts w:hint="default"/>
      </w:rPr>
    </w:lvl>
    <w:lvl w:ilvl="5" w:tplc="B6707EF4">
      <w:start w:val="1"/>
      <w:numFmt w:val="bullet"/>
      <w:lvlText w:val="•"/>
      <w:lvlJc w:val="left"/>
      <w:pPr>
        <w:ind w:left="4675" w:hanging="572"/>
      </w:pPr>
      <w:rPr>
        <w:rFonts w:hint="default"/>
      </w:rPr>
    </w:lvl>
    <w:lvl w:ilvl="6" w:tplc="C7826878">
      <w:start w:val="1"/>
      <w:numFmt w:val="bullet"/>
      <w:lvlText w:val="•"/>
      <w:lvlJc w:val="left"/>
      <w:pPr>
        <w:ind w:left="5589" w:hanging="572"/>
      </w:pPr>
      <w:rPr>
        <w:rFonts w:hint="default"/>
      </w:rPr>
    </w:lvl>
    <w:lvl w:ilvl="7" w:tplc="4F7EEDD2">
      <w:start w:val="1"/>
      <w:numFmt w:val="bullet"/>
      <w:lvlText w:val="•"/>
      <w:lvlJc w:val="left"/>
      <w:pPr>
        <w:ind w:left="6503" w:hanging="572"/>
      </w:pPr>
      <w:rPr>
        <w:rFonts w:hint="default"/>
      </w:rPr>
    </w:lvl>
    <w:lvl w:ilvl="8" w:tplc="3FEC8BE2">
      <w:start w:val="1"/>
      <w:numFmt w:val="bullet"/>
      <w:lvlText w:val="•"/>
      <w:lvlJc w:val="left"/>
      <w:pPr>
        <w:ind w:left="7418" w:hanging="572"/>
      </w:pPr>
      <w:rPr>
        <w:rFonts w:hint="default"/>
      </w:rPr>
    </w:lvl>
  </w:abstractNum>
  <w:abstractNum w:abstractNumId="3" w15:restartNumberingAfterBreak="0">
    <w:nsid w:val="6A88437E"/>
    <w:multiLevelType w:val="hybridMultilevel"/>
    <w:tmpl w:val="E66C7164"/>
    <w:lvl w:ilvl="0" w:tplc="8A54322C">
      <w:start w:val="1"/>
      <w:numFmt w:val="bullet"/>
      <w:lvlText w:val="-"/>
      <w:lvlJc w:val="left"/>
      <w:pPr>
        <w:ind w:left="685" w:hanging="567"/>
      </w:pPr>
      <w:rPr>
        <w:rFonts w:ascii="Arial" w:eastAsia="Arial" w:hAnsi="Arial" w:hint="default"/>
        <w:w w:val="99"/>
        <w:sz w:val="20"/>
        <w:szCs w:val="20"/>
      </w:rPr>
    </w:lvl>
    <w:lvl w:ilvl="1" w:tplc="8A54322C">
      <w:start w:val="1"/>
      <w:numFmt w:val="bullet"/>
      <w:lvlText w:val="-"/>
      <w:lvlJc w:val="left"/>
      <w:pPr>
        <w:ind w:left="838" w:hanging="43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A976B560">
      <w:start w:val="1"/>
      <w:numFmt w:val="bullet"/>
      <w:lvlText w:val="•"/>
      <w:lvlJc w:val="left"/>
      <w:pPr>
        <w:ind w:left="1772" w:hanging="437"/>
      </w:pPr>
      <w:rPr>
        <w:rFonts w:hint="default"/>
      </w:rPr>
    </w:lvl>
    <w:lvl w:ilvl="3" w:tplc="A784ECF0">
      <w:start w:val="1"/>
      <w:numFmt w:val="bullet"/>
      <w:lvlText w:val="•"/>
      <w:lvlJc w:val="left"/>
      <w:pPr>
        <w:ind w:left="2707" w:hanging="437"/>
      </w:pPr>
      <w:rPr>
        <w:rFonts w:hint="default"/>
      </w:rPr>
    </w:lvl>
    <w:lvl w:ilvl="4" w:tplc="45E61386">
      <w:start w:val="1"/>
      <w:numFmt w:val="bullet"/>
      <w:lvlText w:val="•"/>
      <w:lvlJc w:val="left"/>
      <w:pPr>
        <w:ind w:left="3641" w:hanging="437"/>
      </w:pPr>
      <w:rPr>
        <w:rFonts w:hint="default"/>
      </w:rPr>
    </w:lvl>
    <w:lvl w:ilvl="5" w:tplc="3BC66FCA">
      <w:start w:val="1"/>
      <w:numFmt w:val="bullet"/>
      <w:lvlText w:val="•"/>
      <w:lvlJc w:val="left"/>
      <w:pPr>
        <w:ind w:left="4575" w:hanging="437"/>
      </w:pPr>
      <w:rPr>
        <w:rFonts w:hint="default"/>
      </w:rPr>
    </w:lvl>
    <w:lvl w:ilvl="6" w:tplc="F4AC279E">
      <w:start w:val="1"/>
      <w:numFmt w:val="bullet"/>
      <w:lvlText w:val="•"/>
      <w:lvlJc w:val="left"/>
      <w:pPr>
        <w:ind w:left="5509" w:hanging="437"/>
      </w:pPr>
      <w:rPr>
        <w:rFonts w:hint="default"/>
      </w:rPr>
    </w:lvl>
    <w:lvl w:ilvl="7" w:tplc="4ABA504C">
      <w:start w:val="1"/>
      <w:numFmt w:val="bullet"/>
      <w:lvlText w:val="•"/>
      <w:lvlJc w:val="left"/>
      <w:pPr>
        <w:ind w:left="6443" w:hanging="437"/>
      </w:pPr>
      <w:rPr>
        <w:rFonts w:hint="default"/>
      </w:rPr>
    </w:lvl>
    <w:lvl w:ilvl="8" w:tplc="CA06E38A">
      <w:start w:val="1"/>
      <w:numFmt w:val="bullet"/>
      <w:lvlText w:val="•"/>
      <w:lvlJc w:val="left"/>
      <w:pPr>
        <w:ind w:left="7378" w:hanging="437"/>
      </w:pPr>
      <w:rPr>
        <w:rFonts w:hint="default"/>
      </w:rPr>
    </w:lvl>
  </w:abstractNum>
  <w:abstractNum w:abstractNumId="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27746995">
    <w:abstractNumId w:val="2"/>
  </w:num>
  <w:num w:numId="2" w16cid:durableId="512304471">
    <w:abstractNumId w:val="3"/>
  </w:num>
  <w:num w:numId="3" w16cid:durableId="1037043281">
    <w:abstractNumId w:val="4"/>
  </w:num>
  <w:num w:numId="4" w16cid:durableId="1526595776">
    <w:abstractNumId w:val="1"/>
  </w:num>
  <w:num w:numId="5" w16cid:durableId="77636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B0"/>
    <w:rsid w:val="000D084E"/>
    <w:rsid w:val="000D7146"/>
    <w:rsid w:val="000F2B90"/>
    <w:rsid w:val="00120B55"/>
    <w:rsid w:val="001A1460"/>
    <w:rsid w:val="0022587A"/>
    <w:rsid w:val="00232F57"/>
    <w:rsid w:val="002462D4"/>
    <w:rsid w:val="00250F4B"/>
    <w:rsid w:val="00282E3A"/>
    <w:rsid w:val="002B0851"/>
    <w:rsid w:val="002D434B"/>
    <w:rsid w:val="00324EB8"/>
    <w:rsid w:val="00330ED4"/>
    <w:rsid w:val="00353CBF"/>
    <w:rsid w:val="00376C2C"/>
    <w:rsid w:val="003C0216"/>
    <w:rsid w:val="004378CA"/>
    <w:rsid w:val="00451729"/>
    <w:rsid w:val="00477EB0"/>
    <w:rsid w:val="004B32CD"/>
    <w:rsid w:val="004B533E"/>
    <w:rsid w:val="004C2880"/>
    <w:rsid w:val="005D7139"/>
    <w:rsid w:val="00631221"/>
    <w:rsid w:val="0063125C"/>
    <w:rsid w:val="00687CFD"/>
    <w:rsid w:val="006C2990"/>
    <w:rsid w:val="0078292E"/>
    <w:rsid w:val="008162CA"/>
    <w:rsid w:val="009F54A7"/>
    <w:rsid w:val="00A97236"/>
    <w:rsid w:val="00AA12A0"/>
    <w:rsid w:val="00AB7A2B"/>
    <w:rsid w:val="00B173BB"/>
    <w:rsid w:val="00B250A0"/>
    <w:rsid w:val="00C26C71"/>
    <w:rsid w:val="00CA2B2D"/>
    <w:rsid w:val="00D11EF5"/>
    <w:rsid w:val="00D1341C"/>
    <w:rsid w:val="00D546C1"/>
    <w:rsid w:val="00D92DFF"/>
    <w:rsid w:val="00DC51FF"/>
    <w:rsid w:val="00DF51B9"/>
    <w:rsid w:val="00E16BC7"/>
    <w:rsid w:val="00E23703"/>
    <w:rsid w:val="00E460A7"/>
    <w:rsid w:val="00E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B87BF"/>
  <w15:docId w15:val="{2B089A5C-9A43-4A7C-8F10-9393C290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4"/>
      <w:ind w:left="10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1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8CA"/>
  </w:style>
  <w:style w:type="paragraph" w:styleId="Footer">
    <w:name w:val="footer"/>
    <w:basedOn w:val="Normal"/>
    <w:link w:val="FooterChar"/>
    <w:uiPriority w:val="99"/>
    <w:unhideWhenUsed/>
    <w:rsid w:val="00437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8CA"/>
  </w:style>
  <w:style w:type="paragraph" w:customStyle="1" w:styleId="FooterAgency">
    <w:name w:val="Footer (Agency)"/>
    <w:basedOn w:val="Normal"/>
    <w:link w:val="FooterAgencyCharChar"/>
    <w:rsid w:val="00120B55"/>
    <w:pPr>
      <w:widowControl/>
    </w:pPr>
    <w:rPr>
      <w:rFonts w:ascii="Arial" w:eastAsia="Verdana" w:hAnsi="Arial" w:cs="Times New Roman"/>
      <w:color w:val="6D6F71"/>
      <w:sz w:val="14"/>
      <w:szCs w:val="14"/>
      <w:lang w:val="en-GB" w:eastAsia="en-GB"/>
    </w:rPr>
  </w:style>
  <w:style w:type="character" w:customStyle="1" w:styleId="FooterAgencyCharChar">
    <w:name w:val="Footer (Agency) Char Char"/>
    <w:link w:val="FooterAgency"/>
    <w:rsid w:val="00120B55"/>
    <w:rPr>
      <w:rFonts w:ascii="Arial" w:eastAsia="Verdana" w:hAnsi="Arial" w:cs="Times New Roman"/>
      <w:color w:val="6D6F71"/>
      <w:sz w:val="14"/>
      <w:szCs w:val="14"/>
      <w:lang w:val="en-GB" w:eastAsia="en-GB"/>
    </w:rPr>
  </w:style>
  <w:style w:type="character" w:customStyle="1" w:styleId="PageNumberAgency">
    <w:name w:val="Page Number (Agency)"/>
    <w:rsid w:val="00120B55"/>
    <w:rPr>
      <w:rFonts w:ascii="Verdana" w:hAnsi="Verdana"/>
      <w:sz w:val="14"/>
    </w:rPr>
  </w:style>
  <w:style w:type="character" w:styleId="Hyperlink">
    <w:name w:val="Hyperlink"/>
    <w:rsid w:val="009F54A7"/>
    <w:rPr>
      <w:color w:val="0000FF"/>
      <w:u w:val="single"/>
    </w:rPr>
  </w:style>
  <w:style w:type="paragraph" w:customStyle="1" w:styleId="EMEAEnBodyText">
    <w:name w:val="EMEA En Body Text"/>
    <w:basedOn w:val="Normal"/>
    <w:rsid w:val="009F54A7"/>
    <w:pPr>
      <w:widowControl/>
      <w:spacing w:before="120" w:after="120"/>
      <w:jc w:val="both"/>
    </w:pPr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F54A7"/>
    <w:pPr>
      <w:widowControl/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4A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9F54A7"/>
    <w:rPr>
      <w:vertAlign w:val="superscript"/>
    </w:rPr>
  </w:style>
  <w:style w:type="paragraph" w:customStyle="1" w:styleId="Default">
    <w:name w:val="Default"/>
    <w:rsid w:val="00CA2B2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Jenny</cp:lastModifiedBy>
  <cp:revision>4</cp:revision>
  <dcterms:created xsi:type="dcterms:W3CDTF">2024-05-31T18:25:00Z</dcterms:created>
  <dcterms:modified xsi:type="dcterms:W3CDTF">2025-06-25T10:42:00Z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LastSaved">
    <vt:filetime>2022-01-07T00:00:00Z</vt:filetime>
  </property>
</Properties>
</file>